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68" w14:textId="29C5A796" w:rsidR="00997C14" w:rsidRDefault="00997C14" w:rsidP="00EF1F8C">
      <w:pPr>
        <w:pStyle w:val="Ttulo"/>
        <w:jc w:val="center"/>
        <w:rPr>
          <w:b/>
          <w:bCs/>
          <w:sz w:val="44"/>
          <w:szCs w:val="44"/>
        </w:rPr>
      </w:pPr>
      <w:r w:rsidRPr="00102605">
        <w:rPr>
          <w:b/>
          <w:bCs/>
          <w:sz w:val="44"/>
          <w:szCs w:val="44"/>
        </w:rPr>
        <w:t xml:space="preserve">Environmental and Social </w:t>
      </w:r>
      <w:r w:rsidR="000E1D9D" w:rsidRPr="00102605">
        <w:rPr>
          <w:b/>
          <w:bCs/>
          <w:sz w:val="44"/>
          <w:szCs w:val="44"/>
        </w:rPr>
        <w:t xml:space="preserve">Analysis and Environmental and Social </w:t>
      </w:r>
      <w:r w:rsidRPr="00102605">
        <w:rPr>
          <w:b/>
          <w:bCs/>
          <w:sz w:val="44"/>
          <w:szCs w:val="44"/>
        </w:rPr>
        <w:t>Management Framework</w:t>
      </w:r>
    </w:p>
    <w:p w14:paraId="646A7573" w14:textId="3BB2A971" w:rsidR="00E57AD0" w:rsidRDefault="00E57AD0" w:rsidP="00E57AD0"/>
    <w:p w14:paraId="501B2B6B" w14:textId="3D5D79C5" w:rsidR="00E57AD0" w:rsidRDefault="00E57AD0" w:rsidP="00E57AD0"/>
    <w:p w14:paraId="4615427F" w14:textId="77777777" w:rsidR="00E57AD0" w:rsidRPr="00E57AD0" w:rsidRDefault="00E57AD0" w:rsidP="00E57AD0"/>
    <w:p w14:paraId="3EF7C6B0" w14:textId="77777777" w:rsidR="00E57AD0" w:rsidRPr="00E57AD0" w:rsidRDefault="00E57AD0" w:rsidP="00EF1F8C">
      <w:pPr>
        <w:pStyle w:val="Subttulo"/>
        <w:jc w:val="center"/>
        <w:rPr>
          <w:rFonts w:asciiTheme="majorHAnsi" w:eastAsiaTheme="majorEastAsia" w:hAnsiTheme="majorHAnsi" w:cstheme="majorBidi"/>
          <w:b/>
          <w:bCs/>
          <w:color w:val="auto"/>
          <w:spacing w:val="-10"/>
          <w:kern w:val="28"/>
          <w:sz w:val="44"/>
          <w:szCs w:val="44"/>
        </w:rPr>
      </w:pPr>
      <w:r w:rsidRPr="00E57AD0">
        <w:rPr>
          <w:rFonts w:asciiTheme="majorHAnsi" w:eastAsiaTheme="majorEastAsia" w:hAnsiTheme="majorHAnsi" w:cstheme="majorBidi"/>
          <w:b/>
          <w:bCs/>
          <w:color w:val="auto"/>
          <w:spacing w:val="-10"/>
          <w:kern w:val="28"/>
          <w:sz w:val="44"/>
          <w:szCs w:val="44"/>
        </w:rPr>
        <w:t xml:space="preserve">E-Motion: E-Mobility and Low Carbon Transportation </w:t>
      </w:r>
    </w:p>
    <w:p w14:paraId="76051334" w14:textId="77777777" w:rsidR="00EF1F8C" w:rsidRPr="00102605" w:rsidRDefault="00EF1F8C" w:rsidP="00EF1F8C">
      <w:pPr>
        <w:jc w:val="left"/>
      </w:pPr>
    </w:p>
    <w:p w14:paraId="3BBE9DDD" w14:textId="77777777" w:rsidR="00EF1F8C" w:rsidRPr="00102605" w:rsidRDefault="00EF1F8C" w:rsidP="00EF1F8C">
      <w:pPr>
        <w:jc w:val="left"/>
      </w:pPr>
    </w:p>
    <w:p w14:paraId="1ABAF763" w14:textId="77777777" w:rsidR="00EF1F8C" w:rsidRPr="00102605" w:rsidRDefault="00EF1F8C" w:rsidP="00EF1F8C">
      <w:pPr>
        <w:jc w:val="left"/>
      </w:pPr>
    </w:p>
    <w:p w14:paraId="11B14B1D" w14:textId="77777777" w:rsidR="00EF1F8C" w:rsidRPr="00102605" w:rsidRDefault="00EF1F8C" w:rsidP="00EF1F8C">
      <w:pPr>
        <w:jc w:val="center"/>
      </w:pPr>
      <w:r w:rsidRPr="00102605">
        <w:t>Cover page</w:t>
      </w:r>
    </w:p>
    <w:p w14:paraId="04EC31C0" w14:textId="1DF334F8" w:rsidR="00987DD8" w:rsidRPr="00102605" w:rsidRDefault="00987DD8" w:rsidP="00EF1F8C">
      <w:pPr>
        <w:jc w:val="center"/>
      </w:pPr>
      <w:r w:rsidRPr="00102605">
        <w:t>Version 1.</w:t>
      </w:r>
      <w:r w:rsidR="00EB778C">
        <w:t>6</w:t>
      </w:r>
      <w:r w:rsidR="0070732B" w:rsidRPr="00102605">
        <w:t xml:space="preserve"> </w:t>
      </w:r>
      <w:r w:rsidR="00655456" w:rsidRPr="00102605">
        <w:t xml:space="preserve">– </w:t>
      </w:r>
      <w:r w:rsidR="002E4661">
        <w:t>1</w:t>
      </w:r>
      <w:r w:rsidR="00873187">
        <w:t>5</w:t>
      </w:r>
      <w:r w:rsidR="00463C55" w:rsidRPr="00EF47DA">
        <w:rPr>
          <w:vertAlign w:val="superscript"/>
        </w:rPr>
        <w:t>th</w:t>
      </w:r>
      <w:r w:rsidR="00463C55" w:rsidRPr="00102605">
        <w:t xml:space="preserve"> </w:t>
      </w:r>
      <w:r w:rsidR="002E4661">
        <w:t>September</w:t>
      </w:r>
      <w:r w:rsidR="00655456" w:rsidRPr="00102605">
        <w:t xml:space="preserve"> 2022</w:t>
      </w:r>
    </w:p>
    <w:p w14:paraId="599B4936" w14:textId="77777777" w:rsidR="00EF1F8C" w:rsidRPr="00102605" w:rsidRDefault="00EF1F8C" w:rsidP="00EF1F8C">
      <w:r w:rsidRPr="00102605">
        <w:br w:type="page"/>
      </w:r>
    </w:p>
    <w:sdt>
      <w:sdtPr>
        <w:rPr>
          <w:u w:val="single"/>
        </w:rPr>
        <w:id w:val="27845142"/>
        <w:docPartObj>
          <w:docPartGallery w:val="Table of Contents"/>
          <w:docPartUnique/>
        </w:docPartObj>
      </w:sdtPr>
      <w:sdtEndPr>
        <w:rPr>
          <w:b/>
          <w:bCs/>
          <w:u w:val="none"/>
        </w:rPr>
      </w:sdtEndPr>
      <w:sdtContent>
        <w:p w14:paraId="50208E3D" w14:textId="31123AF2" w:rsidR="00EF1F8C" w:rsidRPr="00217D19" w:rsidRDefault="00EF1F8C" w:rsidP="008467C4">
          <w:pPr>
            <w:spacing w:before="120" w:after="120" w:line="240" w:lineRule="atLeast"/>
            <w:rPr>
              <w:b/>
              <w:bCs/>
              <w:sz w:val="20"/>
              <w:szCs w:val="20"/>
              <w:u w:val="single"/>
            </w:rPr>
          </w:pPr>
          <w:r w:rsidRPr="00217D19">
            <w:rPr>
              <w:b/>
              <w:bCs/>
              <w:sz w:val="20"/>
              <w:szCs w:val="20"/>
              <w:u w:val="single"/>
            </w:rPr>
            <w:t>Table of Contents</w:t>
          </w:r>
        </w:p>
        <w:p w14:paraId="455B95D0" w14:textId="64359667" w:rsidR="001D3013" w:rsidRPr="00217D19" w:rsidRDefault="00EF1F8C">
          <w:pPr>
            <w:pStyle w:val="TDC1"/>
            <w:rPr>
              <w:rFonts w:asciiTheme="minorHAnsi" w:eastAsiaTheme="minorEastAsia" w:hAnsiTheme="minorHAnsi"/>
              <w:noProof/>
              <w:sz w:val="20"/>
              <w:szCs w:val="20"/>
              <w:lang w:val="es-AR" w:eastAsia="es-AR"/>
            </w:rPr>
          </w:pPr>
          <w:r w:rsidRPr="00217D19">
            <w:rPr>
              <w:rFonts w:cs="Arial"/>
              <w:sz w:val="20"/>
              <w:szCs w:val="20"/>
            </w:rPr>
            <w:fldChar w:fldCharType="begin"/>
          </w:r>
          <w:r w:rsidRPr="00217D19">
            <w:rPr>
              <w:sz w:val="20"/>
              <w:szCs w:val="20"/>
            </w:rPr>
            <w:instrText xml:space="preserve"> TOC \o "1-3" \h \z \u </w:instrText>
          </w:r>
          <w:r w:rsidRPr="00217D19">
            <w:rPr>
              <w:rFonts w:cs="Arial"/>
              <w:sz w:val="20"/>
              <w:szCs w:val="20"/>
            </w:rPr>
            <w:fldChar w:fldCharType="separate"/>
          </w:r>
          <w:hyperlink w:anchor="_Toc114152199" w:history="1">
            <w:r w:rsidR="001D3013" w:rsidRPr="00217D19">
              <w:rPr>
                <w:rStyle w:val="Hipervnculo"/>
                <w:noProof/>
                <w:sz w:val="20"/>
                <w:szCs w:val="20"/>
              </w:rPr>
              <w:t>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Executive Summary</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_Toc114152199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3</w:t>
            </w:r>
            <w:r w:rsidR="001D3013" w:rsidRPr="00217D19">
              <w:rPr>
                <w:noProof/>
                <w:webHidden/>
                <w:sz w:val="20"/>
                <w:szCs w:val="20"/>
              </w:rPr>
              <w:fldChar w:fldCharType="end"/>
            </w:r>
          </w:hyperlink>
        </w:p>
        <w:p w14:paraId="658F3310" w14:textId="54A13FFC" w:rsidR="001D3013" w:rsidRPr="00217D19" w:rsidRDefault="00203008">
          <w:pPr>
            <w:pStyle w:val="TDC1"/>
            <w:rPr>
              <w:rFonts w:asciiTheme="minorHAnsi" w:eastAsiaTheme="minorEastAsia" w:hAnsiTheme="minorHAnsi"/>
              <w:noProof/>
              <w:sz w:val="20"/>
              <w:szCs w:val="20"/>
              <w:lang w:val="es-AR" w:eastAsia="es-AR"/>
            </w:rPr>
          </w:pPr>
          <w:hyperlink w:anchor="_Toc114152200" w:history="1">
            <w:r w:rsidR="001D3013" w:rsidRPr="00217D19">
              <w:rPr>
                <w:rStyle w:val="Hipervnculo"/>
                <w:noProof/>
                <w:sz w:val="20"/>
                <w:szCs w:val="20"/>
              </w:rPr>
              <w:t>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Objectives of the ESA and ESMF</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_Toc114152200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5</w:t>
            </w:r>
            <w:r w:rsidR="001D3013" w:rsidRPr="00217D19">
              <w:rPr>
                <w:noProof/>
                <w:webHidden/>
                <w:sz w:val="20"/>
                <w:szCs w:val="20"/>
              </w:rPr>
              <w:fldChar w:fldCharType="end"/>
            </w:r>
          </w:hyperlink>
        </w:p>
        <w:p w14:paraId="41A6D93C" w14:textId="00881505" w:rsidR="001D3013" w:rsidRPr="00217D19" w:rsidRDefault="00203008">
          <w:pPr>
            <w:pStyle w:val="TDC1"/>
            <w:rPr>
              <w:rFonts w:asciiTheme="minorHAnsi" w:eastAsiaTheme="minorEastAsia" w:hAnsiTheme="minorHAnsi"/>
              <w:noProof/>
              <w:sz w:val="20"/>
              <w:szCs w:val="20"/>
              <w:lang w:val="es-AR" w:eastAsia="es-AR"/>
            </w:rPr>
          </w:pPr>
          <w:hyperlink w:anchor="_Toc114152201" w:history="1">
            <w:r w:rsidR="001D3013" w:rsidRPr="00217D19">
              <w:rPr>
                <w:rStyle w:val="Hipervnculo"/>
                <w:noProof/>
                <w:sz w:val="20"/>
                <w:szCs w:val="20"/>
              </w:rPr>
              <w:t>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Program Description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_Toc114152201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w:t>
            </w:r>
            <w:r w:rsidR="001D3013" w:rsidRPr="00217D19">
              <w:rPr>
                <w:noProof/>
                <w:webHidden/>
                <w:sz w:val="20"/>
                <w:szCs w:val="20"/>
              </w:rPr>
              <w:fldChar w:fldCharType="end"/>
            </w:r>
          </w:hyperlink>
        </w:p>
        <w:p w14:paraId="38E8A645" w14:textId="78A332BB" w:rsidR="001D3013" w:rsidRPr="00217D19" w:rsidRDefault="00203008">
          <w:pPr>
            <w:pStyle w:val="TDC1"/>
            <w:rPr>
              <w:rFonts w:asciiTheme="minorHAnsi" w:eastAsiaTheme="minorEastAsia" w:hAnsiTheme="minorHAnsi"/>
              <w:noProof/>
              <w:sz w:val="20"/>
              <w:szCs w:val="20"/>
              <w:lang w:val="es-AR" w:eastAsia="es-AR"/>
            </w:rPr>
          </w:pPr>
          <w:hyperlink w:anchor="_Toc114152202" w:history="1">
            <w:r w:rsidR="001D3013" w:rsidRPr="00217D19">
              <w:rPr>
                <w:rStyle w:val="Hipervnculo"/>
                <w:noProof/>
                <w:sz w:val="20"/>
                <w:szCs w:val="20"/>
              </w:rPr>
              <w:t>3.1.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Program Scope</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_Toc114152202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w:t>
            </w:r>
            <w:r w:rsidR="001D3013" w:rsidRPr="00217D19">
              <w:rPr>
                <w:noProof/>
                <w:webHidden/>
                <w:sz w:val="20"/>
                <w:szCs w:val="20"/>
              </w:rPr>
              <w:fldChar w:fldCharType="end"/>
            </w:r>
          </w:hyperlink>
        </w:p>
        <w:p w14:paraId="503F65E1" w14:textId="1045D359" w:rsidR="001D3013" w:rsidRPr="00217D19" w:rsidRDefault="00203008">
          <w:pPr>
            <w:pStyle w:val="TDC1"/>
            <w:rPr>
              <w:rFonts w:asciiTheme="minorHAnsi" w:eastAsiaTheme="minorEastAsia" w:hAnsiTheme="minorHAnsi"/>
              <w:noProof/>
              <w:sz w:val="20"/>
              <w:szCs w:val="20"/>
              <w:lang w:val="es-AR" w:eastAsia="es-AR"/>
            </w:rPr>
          </w:pPr>
          <w:hyperlink w:anchor="_Toc114152203" w:history="1">
            <w:r w:rsidR="001D3013" w:rsidRPr="00217D19">
              <w:rPr>
                <w:rStyle w:val="Hipervnculo"/>
                <w:noProof/>
                <w:sz w:val="20"/>
                <w:szCs w:val="20"/>
              </w:rPr>
              <w:t>3.2.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Eligible sub-projects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_Toc114152203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10</w:t>
            </w:r>
            <w:r w:rsidR="001D3013" w:rsidRPr="00217D19">
              <w:rPr>
                <w:noProof/>
                <w:webHidden/>
                <w:sz w:val="20"/>
                <w:szCs w:val="20"/>
              </w:rPr>
              <w:fldChar w:fldCharType="end"/>
            </w:r>
          </w:hyperlink>
        </w:p>
        <w:p w14:paraId="2B344726" w14:textId="10B93093" w:rsidR="001D3013" w:rsidRPr="00217D19" w:rsidRDefault="00203008">
          <w:pPr>
            <w:pStyle w:val="TDC1"/>
            <w:rPr>
              <w:rFonts w:asciiTheme="minorHAnsi" w:eastAsiaTheme="minorEastAsia" w:hAnsiTheme="minorHAnsi"/>
              <w:noProof/>
              <w:sz w:val="20"/>
              <w:szCs w:val="20"/>
              <w:lang w:val="es-AR" w:eastAsia="es-AR"/>
            </w:rPr>
          </w:pPr>
          <w:hyperlink w:anchor="_Toc114152204" w:history="1">
            <w:r w:rsidR="001D3013" w:rsidRPr="00217D19">
              <w:rPr>
                <w:rStyle w:val="Hipervnculo"/>
                <w:noProof/>
                <w:sz w:val="20"/>
                <w:szCs w:val="20"/>
              </w:rPr>
              <w:t>3.3.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Sub-Program 2 implementation scheme</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_Toc114152204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11</w:t>
            </w:r>
            <w:r w:rsidR="001D3013" w:rsidRPr="00217D19">
              <w:rPr>
                <w:noProof/>
                <w:webHidden/>
                <w:sz w:val="20"/>
                <w:szCs w:val="20"/>
              </w:rPr>
              <w:fldChar w:fldCharType="end"/>
            </w:r>
          </w:hyperlink>
        </w:p>
        <w:p w14:paraId="0F9A518D" w14:textId="4880E86F" w:rsidR="001D3013" w:rsidRPr="00217D19" w:rsidRDefault="00203008">
          <w:pPr>
            <w:pStyle w:val="TDC1"/>
            <w:rPr>
              <w:rFonts w:asciiTheme="minorHAnsi" w:eastAsiaTheme="minorEastAsia" w:hAnsiTheme="minorHAnsi"/>
              <w:noProof/>
              <w:sz w:val="20"/>
              <w:szCs w:val="20"/>
              <w:lang w:val="es-AR" w:eastAsia="es-AR"/>
            </w:rPr>
          </w:pPr>
          <w:hyperlink w:anchor="_Toc114152205" w:history="1">
            <w:r w:rsidR="001D3013" w:rsidRPr="00217D19">
              <w:rPr>
                <w:rStyle w:val="Hipervnculo"/>
                <w:noProof/>
                <w:sz w:val="20"/>
                <w:szCs w:val="20"/>
              </w:rPr>
              <w:t>4.</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Country context</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_Toc114152205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13</w:t>
            </w:r>
            <w:r w:rsidR="001D3013" w:rsidRPr="00217D19">
              <w:rPr>
                <w:noProof/>
                <w:webHidden/>
                <w:sz w:val="20"/>
                <w:szCs w:val="20"/>
              </w:rPr>
              <w:fldChar w:fldCharType="end"/>
            </w:r>
          </w:hyperlink>
        </w:p>
        <w:p w14:paraId="2E375269" w14:textId="08A90EA9" w:rsidR="001D3013" w:rsidRPr="00217D19" w:rsidRDefault="00203008">
          <w:pPr>
            <w:pStyle w:val="TDC1"/>
            <w:rPr>
              <w:rFonts w:asciiTheme="minorHAnsi" w:eastAsiaTheme="minorEastAsia" w:hAnsiTheme="minorHAnsi"/>
              <w:noProof/>
              <w:sz w:val="20"/>
              <w:szCs w:val="20"/>
              <w:lang w:val="es-AR" w:eastAsia="es-AR"/>
            </w:rPr>
          </w:pPr>
          <w:hyperlink w:anchor="_Toc114152206" w:history="1">
            <w:r w:rsidR="001D3013" w:rsidRPr="00217D19">
              <w:rPr>
                <w:rStyle w:val="Hipervnculo"/>
                <w:noProof/>
                <w:sz w:val="20"/>
                <w:szCs w:val="20"/>
              </w:rPr>
              <w:t>4.1.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Policies and applicable regulatory frameworks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_Toc114152206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13</w:t>
            </w:r>
            <w:r w:rsidR="001D3013" w:rsidRPr="00217D19">
              <w:rPr>
                <w:noProof/>
                <w:webHidden/>
                <w:sz w:val="20"/>
                <w:szCs w:val="20"/>
              </w:rPr>
              <w:fldChar w:fldCharType="end"/>
            </w:r>
          </w:hyperlink>
        </w:p>
        <w:p w14:paraId="1B6144DD" w14:textId="2DF3E628" w:rsidR="001D3013" w:rsidRPr="00217D19" w:rsidRDefault="00203008">
          <w:pPr>
            <w:pStyle w:val="TDC1"/>
            <w:rPr>
              <w:rFonts w:asciiTheme="minorHAnsi" w:eastAsiaTheme="minorEastAsia" w:hAnsiTheme="minorHAnsi"/>
              <w:noProof/>
              <w:sz w:val="20"/>
              <w:szCs w:val="20"/>
              <w:lang w:val="es-AR" w:eastAsia="es-AR"/>
            </w:rPr>
          </w:pPr>
          <w:hyperlink w:anchor="_Toc114152207" w:history="1">
            <w:r w:rsidR="001D3013" w:rsidRPr="00217D19">
              <w:rPr>
                <w:rStyle w:val="Hipervnculo"/>
                <w:noProof/>
                <w:sz w:val="20"/>
                <w:szCs w:val="20"/>
              </w:rPr>
              <w:t>4.1.1.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Panamá</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_Toc114152207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14</w:t>
            </w:r>
            <w:r w:rsidR="001D3013" w:rsidRPr="00217D19">
              <w:rPr>
                <w:noProof/>
                <w:webHidden/>
                <w:sz w:val="20"/>
                <w:szCs w:val="20"/>
              </w:rPr>
              <w:fldChar w:fldCharType="end"/>
            </w:r>
          </w:hyperlink>
        </w:p>
        <w:p w14:paraId="7D9B8708" w14:textId="7854AA17" w:rsidR="001D3013" w:rsidRPr="00217D19" w:rsidRDefault="00203008">
          <w:pPr>
            <w:pStyle w:val="TDC1"/>
            <w:rPr>
              <w:rFonts w:asciiTheme="minorHAnsi" w:eastAsiaTheme="minorEastAsia" w:hAnsiTheme="minorHAnsi"/>
              <w:noProof/>
              <w:sz w:val="20"/>
              <w:szCs w:val="20"/>
              <w:lang w:val="es-AR" w:eastAsia="es-AR"/>
            </w:rPr>
          </w:pPr>
          <w:hyperlink w:anchor="_Toc114152208" w:history="1">
            <w:r w:rsidR="001D3013" w:rsidRPr="00217D19">
              <w:rPr>
                <w:rStyle w:val="Hipervnculo"/>
                <w:noProof/>
                <w:sz w:val="20"/>
                <w:szCs w:val="20"/>
              </w:rPr>
              <w:t>4.1.2.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Paraguay</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_Toc114152208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21</w:t>
            </w:r>
            <w:r w:rsidR="001D3013" w:rsidRPr="00217D19">
              <w:rPr>
                <w:noProof/>
                <w:webHidden/>
                <w:sz w:val="20"/>
                <w:szCs w:val="20"/>
              </w:rPr>
              <w:fldChar w:fldCharType="end"/>
            </w:r>
          </w:hyperlink>
        </w:p>
        <w:p w14:paraId="52983950" w14:textId="33B84703" w:rsidR="001D3013" w:rsidRPr="00217D19" w:rsidRDefault="00203008">
          <w:pPr>
            <w:pStyle w:val="TDC1"/>
            <w:rPr>
              <w:rFonts w:asciiTheme="minorHAnsi" w:eastAsiaTheme="minorEastAsia" w:hAnsiTheme="minorHAnsi"/>
              <w:noProof/>
              <w:sz w:val="20"/>
              <w:szCs w:val="20"/>
              <w:lang w:val="es-AR" w:eastAsia="es-AR"/>
            </w:rPr>
          </w:pPr>
          <w:hyperlink w:anchor="_Toc114152209" w:history="1">
            <w:r w:rsidR="001D3013" w:rsidRPr="00217D19">
              <w:rPr>
                <w:rStyle w:val="Hipervnculo"/>
                <w:noProof/>
                <w:sz w:val="20"/>
                <w:szCs w:val="20"/>
              </w:rPr>
              <w:t>4.1.3.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Uruguay</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_Toc114152209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33</w:t>
            </w:r>
            <w:r w:rsidR="001D3013" w:rsidRPr="00217D19">
              <w:rPr>
                <w:noProof/>
                <w:webHidden/>
                <w:sz w:val="20"/>
                <w:szCs w:val="20"/>
              </w:rPr>
              <w:fldChar w:fldCharType="end"/>
            </w:r>
          </w:hyperlink>
        </w:p>
        <w:p w14:paraId="34DB9232" w14:textId="0A846A55" w:rsidR="001D3013" w:rsidRPr="00217D19" w:rsidRDefault="00203008">
          <w:pPr>
            <w:pStyle w:val="TDC1"/>
            <w:rPr>
              <w:rFonts w:asciiTheme="minorHAnsi" w:eastAsiaTheme="minorEastAsia" w:hAnsiTheme="minorHAnsi"/>
              <w:noProof/>
              <w:sz w:val="20"/>
              <w:szCs w:val="20"/>
              <w:lang w:val="es-AR" w:eastAsia="es-AR"/>
            </w:rPr>
          </w:pPr>
          <w:hyperlink w:anchor="_Toc114152210" w:history="1">
            <w:r w:rsidR="001D3013" w:rsidRPr="00217D19">
              <w:rPr>
                <w:rStyle w:val="Hipervnculo"/>
                <w:noProof/>
                <w:sz w:val="20"/>
                <w:szCs w:val="20"/>
              </w:rPr>
              <w:t>4.2.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International context relating to EV Batteries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_Toc114152210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39</w:t>
            </w:r>
            <w:r w:rsidR="001D3013" w:rsidRPr="00217D19">
              <w:rPr>
                <w:noProof/>
                <w:webHidden/>
                <w:sz w:val="20"/>
                <w:szCs w:val="20"/>
              </w:rPr>
              <w:fldChar w:fldCharType="end"/>
            </w:r>
          </w:hyperlink>
        </w:p>
        <w:p w14:paraId="668463B9" w14:textId="5639A752" w:rsidR="001D3013" w:rsidRPr="00217D19" w:rsidRDefault="00203008">
          <w:pPr>
            <w:pStyle w:val="TDC1"/>
            <w:rPr>
              <w:rFonts w:asciiTheme="minorHAnsi" w:eastAsiaTheme="minorEastAsia" w:hAnsiTheme="minorHAnsi"/>
              <w:noProof/>
              <w:sz w:val="20"/>
              <w:szCs w:val="20"/>
              <w:lang w:val="es-AR" w:eastAsia="es-AR"/>
            </w:rPr>
          </w:pPr>
          <w:hyperlink w:anchor="_Toc114152211" w:history="1">
            <w:r w:rsidR="001D3013" w:rsidRPr="00217D19">
              <w:rPr>
                <w:rStyle w:val="Hipervnculo"/>
                <w:noProof/>
                <w:sz w:val="20"/>
                <w:szCs w:val="20"/>
              </w:rPr>
              <w:t>4.3.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Applicable environmental and social safeguards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_Toc114152211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43</w:t>
            </w:r>
            <w:r w:rsidR="001D3013" w:rsidRPr="00217D19">
              <w:rPr>
                <w:noProof/>
                <w:webHidden/>
                <w:sz w:val="20"/>
                <w:szCs w:val="20"/>
              </w:rPr>
              <w:fldChar w:fldCharType="end"/>
            </w:r>
          </w:hyperlink>
        </w:p>
        <w:p w14:paraId="7FF2AF0F" w14:textId="0E29C415" w:rsidR="001D3013" w:rsidRPr="00217D19" w:rsidRDefault="00203008">
          <w:pPr>
            <w:pStyle w:val="TDC1"/>
            <w:rPr>
              <w:rFonts w:asciiTheme="minorHAnsi" w:eastAsiaTheme="minorEastAsia" w:hAnsiTheme="minorHAnsi"/>
              <w:noProof/>
              <w:sz w:val="20"/>
              <w:szCs w:val="20"/>
              <w:lang w:val="es-AR" w:eastAsia="es-AR"/>
            </w:rPr>
          </w:pPr>
          <w:hyperlink w:anchor="_Toc114152212" w:history="1">
            <w:r w:rsidR="001D3013" w:rsidRPr="00217D19">
              <w:rPr>
                <w:rStyle w:val="Hipervnculo"/>
                <w:noProof/>
                <w:sz w:val="20"/>
                <w:szCs w:val="20"/>
              </w:rPr>
              <w:t>5.</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 xml:space="preserve">Evaluation of environmental and social impacts – Environmental and Social Analysis (ESA) </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_Toc114152212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45</w:t>
            </w:r>
            <w:r w:rsidR="001D3013" w:rsidRPr="00217D19">
              <w:rPr>
                <w:noProof/>
                <w:webHidden/>
                <w:sz w:val="20"/>
                <w:szCs w:val="20"/>
              </w:rPr>
              <w:fldChar w:fldCharType="end"/>
            </w:r>
          </w:hyperlink>
        </w:p>
        <w:p w14:paraId="1C32C026" w14:textId="7AA4552F" w:rsidR="001D3013" w:rsidRPr="00217D19" w:rsidRDefault="00203008">
          <w:pPr>
            <w:pStyle w:val="TDC1"/>
            <w:rPr>
              <w:rFonts w:asciiTheme="minorHAnsi" w:eastAsiaTheme="minorEastAsia" w:hAnsiTheme="minorHAnsi"/>
              <w:noProof/>
              <w:sz w:val="20"/>
              <w:szCs w:val="20"/>
              <w:lang w:val="es-AR" w:eastAsia="es-AR"/>
            </w:rPr>
          </w:pPr>
          <w:hyperlink w:anchor="_Toc114152213" w:history="1">
            <w:r w:rsidR="001D3013" w:rsidRPr="00217D19">
              <w:rPr>
                <w:rStyle w:val="Hipervnculo"/>
                <w:noProof/>
                <w:sz w:val="20"/>
                <w:szCs w:val="20"/>
              </w:rPr>
              <w:t>5.1.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Positive impacts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_Toc114152213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46</w:t>
            </w:r>
            <w:r w:rsidR="001D3013" w:rsidRPr="00217D19">
              <w:rPr>
                <w:noProof/>
                <w:webHidden/>
                <w:sz w:val="20"/>
                <w:szCs w:val="20"/>
              </w:rPr>
              <w:fldChar w:fldCharType="end"/>
            </w:r>
          </w:hyperlink>
        </w:p>
        <w:p w14:paraId="62022248" w14:textId="734AB73A" w:rsidR="001D3013" w:rsidRPr="00217D19" w:rsidRDefault="00203008">
          <w:pPr>
            <w:pStyle w:val="TDC1"/>
            <w:rPr>
              <w:rFonts w:asciiTheme="minorHAnsi" w:eastAsiaTheme="minorEastAsia" w:hAnsiTheme="minorHAnsi"/>
              <w:noProof/>
              <w:sz w:val="20"/>
              <w:szCs w:val="20"/>
              <w:lang w:val="es-AR" w:eastAsia="es-AR"/>
            </w:rPr>
          </w:pPr>
          <w:hyperlink w:anchor="_Toc114152214" w:history="1">
            <w:r w:rsidR="001D3013" w:rsidRPr="00217D19">
              <w:rPr>
                <w:rStyle w:val="Hipervnculo"/>
                <w:noProof/>
                <w:sz w:val="20"/>
                <w:szCs w:val="20"/>
              </w:rPr>
              <w:t>5.2.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Potential adverse impacts and mitigation measures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_Toc114152214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48</w:t>
            </w:r>
            <w:r w:rsidR="001D3013" w:rsidRPr="00217D19">
              <w:rPr>
                <w:noProof/>
                <w:webHidden/>
                <w:sz w:val="20"/>
                <w:szCs w:val="20"/>
              </w:rPr>
              <w:fldChar w:fldCharType="end"/>
            </w:r>
          </w:hyperlink>
        </w:p>
        <w:p w14:paraId="06EA1201" w14:textId="616AF21B" w:rsidR="001D3013" w:rsidRPr="00217D19" w:rsidRDefault="00203008">
          <w:pPr>
            <w:pStyle w:val="TDC1"/>
            <w:rPr>
              <w:rFonts w:asciiTheme="minorHAnsi" w:eastAsiaTheme="minorEastAsia" w:hAnsiTheme="minorHAnsi"/>
              <w:noProof/>
              <w:sz w:val="20"/>
              <w:szCs w:val="20"/>
              <w:lang w:val="es-AR" w:eastAsia="es-AR"/>
            </w:rPr>
          </w:pPr>
          <w:hyperlink w:anchor="_Toc114152215" w:history="1">
            <w:r w:rsidR="001D3013" w:rsidRPr="00217D19">
              <w:rPr>
                <w:rStyle w:val="Hipervnculo"/>
                <w:noProof/>
                <w:sz w:val="20"/>
                <w:szCs w:val="20"/>
              </w:rPr>
              <w:t>6.</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Sub-Program 2´s Environmental and Social Management Framework</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_Toc114152215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60</w:t>
            </w:r>
            <w:r w:rsidR="001D3013" w:rsidRPr="00217D19">
              <w:rPr>
                <w:noProof/>
                <w:webHidden/>
                <w:sz w:val="20"/>
                <w:szCs w:val="20"/>
              </w:rPr>
              <w:fldChar w:fldCharType="end"/>
            </w:r>
          </w:hyperlink>
        </w:p>
        <w:p w14:paraId="5CC16EC7" w14:textId="722B0200" w:rsidR="001D3013" w:rsidRPr="00217D19" w:rsidRDefault="00203008">
          <w:pPr>
            <w:pStyle w:val="TDC1"/>
            <w:rPr>
              <w:rFonts w:asciiTheme="minorHAnsi" w:eastAsiaTheme="minorEastAsia" w:hAnsiTheme="minorHAnsi"/>
              <w:noProof/>
              <w:sz w:val="20"/>
              <w:szCs w:val="20"/>
              <w:lang w:val="es-AR" w:eastAsia="es-AR"/>
            </w:rPr>
          </w:pPr>
          <w:hyperlink w:anchor="_Toc114152216" w:history="1">
            <w:r w:rsidR="001D3013" w:rsidRPr="00217D19">
              <w:rPr>
                <w:rStyle w:val="Hipervnculo"/>
                <w:noProof/>
                <w:sz w:val="20"/>
                <w:szCs w:val="20"/>
              </w:rPr>
              <w:t>6.1.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CAF environmental and social due diligence</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_Toc114152216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64</w:t>
            </w:r>
            <w:r w:rsidR="001D3013" w:rsidRPr="00217D19">
              <w:rPr>
                <w:noProof/>
                <w:webHidden/>
                <w:sz w:val="20"/>
                <w:szCs w:val="20"/>
              </w:rPr>
              <w:fldChar w:fldCharType="end"/>
            </w:r>
          </w:hyperlink>
        </w:p>
        <w:p w14:paraId="03C3ADE6" w14:textId="3C462E82" w:rsidR="001D3013" w:rsidRPr="00217D19" w:rsidRDefault="00203008">
          <w:pPr>
            <w:pStyle w:val="TDC1"/>
            <w:rPr>
              <w:rFonts w:asciiTheme="minorHAnsi" w:eastAsiaTheme="minorEastAsia" w:hAnsiTheme="minorHAnsi"/>
              <w:noProof/>
              <w:sz w:val="20"/>
              <w:szCs w:val="20"/>
              <w:lang w:val="es-AR" w:eastAsia="es-AR"/>
            </w:rPr>
          </w:pPr>
          <w:hyperlink w:anchor="_Toc114152217" w:history="1">
            <w:r w:rsidR="001D3013" w:rsidRPr="00217D19">
              <w:rPr>
                <w:rStyle w:val="Hipervnculo"/>
                <w:noProof/>
                <w:sz w:val="20"/>
                <w:szCs w:val="20"/>
              </w:rPr>
              <w:t>6.2.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CAF environmental and social monitoring and supervision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_Toc114152217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67</w:t>
            </w:r>
            <w:r w:rsidR="001D3013" w:rsidRPr="00217D19">
              <w:rPr>
                <w:noProof/>
                <w:webHidden/>
                <w:sz w:val="20"/>
                <w:szCs w:val="20"/>
              </w:rPr>
              <w:fldChar w:fldCharType="end"/>
            </w:r>
          </w:hyperlink>
        </w:p>
        <w:p w14:paraId="04F30FB9" w14:textId="34BEFC67" w:rsidR="001D3013" w:rsidRPr="00217D19" w:rsidRDefault="00203008">
          <w:pPr>
            <w:pStyle w:val="TDC1"/>
            <w:rPr>
              <w:rFonts w:asciiTheme="minorHAnsi" w:eastAsiaTheme="minorEastAsia" w:hAnsiTheme="minorHAnsi"/>
              <w:noProof/>
              <w:sz w:val="20"/>
              <w:szCs w:val="20"/>
              <w:lang w:val="es-AR" w:eastAsia="es-AR"/>
            </w:rPr>
          </w:pPr>
          <w:hyperlink w:anchor="_Toc114152218" w:history="1">
            <w:r w:rsidR="001D3013" w:rsidRPr="00217D19">
              <w:rPr>
                <w:rStyle w:val="Hipervnculo"/>
                <w:noProof/>
                <w:sz w:val="20"/>
                <w:szCs w:val="20"/>
              </w:rPr>
              <w:t>6.3.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Information disclosure, stakeholder engagement, indigenas people and ethncis groups and grievance redress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_Toc114152218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67</w:t>
            </w:r>
            <w:r w:rsidR="001D3013" w:rsidRPr="00217D19">
              <w:rPr>
                <w:noProof/>
                <w:webHidden/>
                <w:sz w:val="20"/>
                <w:szCs w:val="20"/>
              </w:rPr>
              <w:fldChar w:fldCharType="end"/>
            </w:r>
          </w:hyperlink>
        </w:p>
        <w:p w14:paraId="7BAEE466" w14:textId="165E0934" w:rsidR="001D3013" w:rsidRPr="00217D19" w:rsidRDefault="00203008">
          <w:pPr>
            <w:pStyle w:val="TDC1"/>
            <w:rPr>
              <w:rFonts w:asciiTheme="minorHAnsi" w:eastAsiaTheme="minorEastAsia" w:hAnsiTheme="minorHAnsi"/>
              <w:noProof/>
              <w:sz w:val="20"/>
              <w:szCs w:val="20"/>
              <w:lang w:val="es-AR" w:eastAsia="es-AR"/>
            </w:rPr>
          </w:pPr>
          <w:hyperlink w:anchor="_Toc114152219" w:history="1">
            <w:r w:rsidR="001D3013" w:rsidRPr="00217D19">
              <w:rPr>
                <w:rStyle w:val="Hipervnculo"/>
                <w:noProof/>
                <w:sz w:val="20"/>
                <w:szCs w:val="20"/>
              </w:rPr>
              <w:t>6.3.1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Stakeholder engagement and information disclosure:</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_Toc114152219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67</w:t>
            </w:r>
            <w:r w:rsidR="001D3013" w:rsidRPr="00217D19">
              <w:rPr>
                <w:noProof/>
                <w:webHidden/>
                <w:sz w:val="20"/>
                <w:szCs w:val="20"/>
              </w:rPr>
              <w:fldChar w:fldCharType="end"/>
            </w:r>
          </w:hyperlink>
        </w:p>
        <w:p w14:paraId="7F7D2618" w14:textId="2EAC8AFA" w:rsidR="001D3013" w:rsidRPr="00217D19" w:rsidRDefault="00203008">
          <w:pPr>
            <w:pStyle w:val="TDC1"/>
            <w:rPr>
              <w:rFonts w:asciiTheme="minorHAnsi" w:eastAsiaTheme="minorEastAsia" w:hAnsiTheme="minorHAnsi"/>
              <w:noProof/>
              <w:sz w:val="20"/>
              <w:szCs w:val="20"/>
              <w:lang w:val="es-AR" w:eastAsia="es-AR"/>
            </w:rPr>
          </w:pPr>
          <w:hyperlink w:anchor="_Toc114152220" w:history="1">
            <w:r w:rsidR="001D3013" w:rsidRPr="00217D19">
              <w:rPr>
                <w:rStyle w:val="Hipervnculo"/>
                <w:noProof/>
                <w:sz w:val="20"/>
                <w:szCs w:val="20"/>
              </w:rPr>
              <w:t>6.3.2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Grievance redress: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_Toc114152220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68</w:t>
            </w:r>
            <w:r w:rsidR="001D3013" w:rsidRPr="00217D19">
              <w:rPr>
                <w:noProof/>
                <w:webHidden/>
                <w:sz w:val="20"/>
                <w:szCs w:val="20"/>
              </w:rPr>
              <w:fldChar w:fldCharType="end"/>
            </w:r>
          </w:hyperlink>
        </w:p>
        <w:p w14:paraId="7F2B6F76" w14:textId="72260960" w:rsidR="001D3013" w:rsidRPr="00217D19" w:rsidRDefault="00203008">
          <w:pPr>
            <w:pStyle w:val="TDC1"/>
            <w:rPr>
              <w:rFonts w:asciiTheme="minorHAnsi" w:eastAsiaTheme="minorEastAsia" w:hAnsiTheme="minorHAnsi"/>
              <w:noProof/>
              <w:sz w:val="20"/>
              <w:szCs w:val="20"/>
              <w:lang w:val="es-AR" w:eastAsia="es-AR"/>
            </w:rPr>
          </w:pPr>
          <w:hyperlink w:anchor="_Toc114152221" w:history="1">
            <w:r w:rsidR="001D3013" w:rsidRPr="00217D19">
              <w:rPr>
                <w:rStyle w:val="Hipervnculo"/>
                <w:noProof/>
                <w:sz w:val="20"/>
                <w:szCs w:val="20"/>
              </w:rPr>
              <w:t>6.3.3</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Indigenous peoples, local communities and ethnic diversity:</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_Toc114152221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69</w:t>
            </w:r>
            <w:r w:rsidR="001D3013" w:rsidRPr="00217D19">
              <w:rPr>
                <w:noProof/>
                <w:webHidden/>
                <w:sz w:val="20"/>
                <w:szCs w:val="20"/>
              </w:rPr>
              <w:fldChar w:fldCharType="end"/>
            </w:r>
          </w:hyperlink>
        </w:p>
        <w:p w14:paraId="405FEEBD" w14:textId="6BF849E5" w:rsidR="001D3013" w:rsidRPr="00217D19" w:rsidRDefault="00203008">
          <w:pPr>
            <w:pStyle w:val="TDC1"/>
            <w:rPr>
              <w:rFonts w:asciiTheme="minorHAnsi" w:eastAsiaTheme="minorEastAsia" w:hAnsiTheme="minorHAnsi"/>
              <w:noProof/>
              <w:sz w:val="20"/>
              <w:szCs w:val="20"/>
              <w:lang w:val="es-AR" w:eastAsia="es-AR"/>
            </w:rPr>
          </w:pPr>
          <w:hyperlink w:anchor="_Toc114152222" w:history="1">
            <w:r w:rsidR="001D3013" w:rsidRPr="00217D19">
              <w:rPr>
                <w:rStyle w:val="Hipervnculo"/>
                <w:noProof/>
                <w:sz w:val="20"/>
                <w:szCs w:val="20"/>
              </w:rPr>
              <w:t>1.</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References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_Toc114152222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70</w:t>
            </w:r>
            <w:r w:rsidR="001D3013" w:rsidRPr="00217D19">
              <w:rPr>
                <w:noProof/>
                <w:webHidden/>
                <w:sz w:val="20"/>
                <w:szCs w:val="20"/>
              </w:rPr>
              <w:fldChar w:fldCharType="end"/>
            </w:r>
          </w:hyperlink>
        </w:p>
        <w:p w14:paraId="3B569FA7" w14:textId="0ADE213D" w:rsidR="001D3013" w:rsidRPr="00217D19" w:rsidRDefault="00203008">
          <w:pPr>
            <w:pStyle w:val="TDC1"/>
            <w:rPr>
              <w:rFonts w:asciiTheme="minorHAnsi" w:eastAsiaTheme="minorEastAsia" w:hAnsiTheme="minorHAnsi"/>
              <w:noProof/>
              <w:sz w:val="20"/>
              <w:szCs w:val="20"/>
              <w:lang w:val="es-AR" w:eastAsia="es-AR"/>
            </w:rPr>
          </w:pPr>
          <w:hyperlink w:anchor="_Toc114152223" w:history="1">
            <w:r w:rsidR="001D3013" w:rsidRPr="00217D19">
              <w:rPr>
                <w:rStyle w:val="Hipervnculo"/>
                <w:noProof/>
                <w:sz w:val="20"/>
                <w:szCs w:val="20"/>
              </w:rPr>
              <w:t>2.</w:t>
            </w:r>
            <w:r w:rsidR="001D3013" w:rsidRPr="00217D19">
              <w:rPr>
                <w:rFonts w:asciiTheme="minorHAnsi" w:eastAsiaTheme="minorEastAsia" w:hAnsiTheme="minorHAnsi"/>
                <w:noProof/>
                <w:sz w:val="20"/>
                <w:szCs w:val="20"/>
                <w:lang w:val="es-AR" w:eastAsia="es-AR"/>
              </w:rPr>
              <w:tab/>
            </w:r>
            <w:r w:rsidR="001D3013" w:rsidRPr="00217D19">
              <w:rPr>
                <w:rStyle w:val="Hipervnculo"/>
                <w:noProof/>
                <w:sz w:val="20"/>
                <w:szCs w:val="20"/>
              </w:rPr>
              <w:t>Annexes</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_Toc114152223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71</w:t>
            </w:r>
            <w:r w:rsidR="001D3013" w:rsidRPr="00217D19">
              <w:rPr>
                <w:noProof/>
                <w:webHidden/>
                <w:sz w:val="20"/>
                <w:szCs w:val="20"/>
              </w:rPr>
              <w:fldChar w:fldCharType="end"/>
            </w:r>
          </w:hyperlink>
        </w:p>
        <w:p w14:paraId="05379F17" w14:textId="57BA4C41" w:rsidR="001D3013" w:rsidRPr="00217D19" w:rsidRDefault="00203008">
          <w:pPr>
            <w:pStyle w:val="TDC1"/>
            <w:rPr>
              <w:rFonts w:asciiTheme="minorHAnsi" w:eastAsiaTheme="minorEastAsia" w:hAnsiTheme="minorHAnsi"/>
              <w:noProof/>
              <w:sz w:val="20"/>
              <w:szCs w:val="20"/>
              <w:lang w:val="es-AR" w:eastAsia="es-AR"/>
            </w:rPr>
          </w:pPr>
          <w:hyperlink w:anchor="_Toc114152224" w:history="1">
            <w:r w:rsidR="001D3013" w:rsidRPr="00217D19">
              <w:rPr>
                <w:rStyle w:val="Hipervnculo"/>
                <w:rFonts w:cs="Arial"/>
                <w:noProof/>
                <w:sz w:val="20"/>
                <w:szCs w:val="20"/>
              </w:rPr>
              <w:t>Annex 1 – CAF´s Exclusion list</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_Toc114152224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71</w:t>
            </w:r>
            <w:r w:rsidR="001D3013" w:rsidRPr="00217D19">
              <w:rPr>
                <w:noProof/>
                <w:webHidden/>
                <w:sz w:val="20"/>
                <w:szCs w:val="20"/>
              </w:rPr>
              <w:fldChar w:fldCharType="end"/>
            </w:r>
          </w:hyperlink>
        </w:p>
        <w:p w14:paraId="41DEEB87" w14:textId="6D358E44" w:rsidR="001D3013" w:rsidRPr="00217D19" w:rsidRDefault="00203008">
          <w:pPr>
            <w:pStyle w:val="TDC1"/>
            <w:rPr>
              <w:rFonts w:asciiTheme="minorHAnsi" w:eastAsiaTheme="minorEastAsia" w:hAnsiTheme="minorHAnsi"/>
              <w:noProof/>
              <w:sz w:val="20"/>
              <w:szCs w:val="20"/>
              <w:lang w:val="es-AR" w:eastAsia="es-AR"/>
            </w:rPr>
          </w:pPr>
          <w:hyperlink w:anchor="_Toc114152225" w:history="1">
            <w:r w:rsidR="001D3013" w:rsidRPr="00217D19">
              <w:rPr>
                <w:rStyle w:val="Hipervnculo"/>
                <w:rFonts w:cs="Arial"/>
                <w:noProof/>
                <w:sz w:val="20"/>
                <w:szCs w:val="20"/>
              </w:rPr>
              <w:t>Annex 2 – Indicative Outline of Environmental and Social Impact Assessment</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_Toc114152225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72</w:t>
            </w:r>
            <w:r w:rsidR="001D3013" w:rsidRPr="00217D19">
              <w:rPr>
                <w:noProof/>
                <w:webHidden/>
                <w:sz w:val="20"/>
                <w:szCs w:val="20"/>
              </w:rPr>
              <w:fldChar w:fldCharType="end"/>
            </w:r>
          </w:hyperlink>
        </w:p>
        <w:p w14:paraId="1FFE8066" w14:textId="1C2340B0" w:rsidR="001D3013" w:rsidRPr="00217D19" w:rsidRDefault="00203008">
          <w:pPr>
            <w:pStyle w:val="TDC1"/>
            <w:rPr>
              <w:rFonts w:asciiTheme="minorHAnsi" w:eastAsiaTheme="minorEastAsia" w:hAnsiTheme="minorHAnsi"/>
              <w:noProof/>
              <w:sz w:val="20"/>
              <w:szCs w:val="20"/>
              <w:lang w:val="es-AR" w:eastAsia="es-AR"/>
            </w:rPr>
          </w:pPr>
          <w:hyperlink w:anchor="_Toc114152226" w:history="1">
            <w:r w:rsidR="001D3013" w:rsidRPr="00217D19">
              <w:rPr>
                <w:rStyle w:val="Hipervnculo"/>
                <w:rFonts w:cs="Arial"/>
                <w:noProof/>
                <w:sz w:val="20"/>
                <w:szCs w:val="20"/>
              </w:rPr>
              <w:t>Annex 3 – Indicative Outline of Environmental and Social Management Plan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_Toc114152226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74</w:t>
            </w:r>
            <w:r w:rsidR="001D3013" w:rsidRPr="00217D19">
              <w:rPr>
                <w:noProof/>
                <w:webHidden/>
                <w:sz w:val="20"/>
                <w:szCs w:val="20"/>
              </w:rPr>
              <w:fldChar w:fldCharType="end"/>
            </w:r>
          </w:hyperlink>
        </w:p>
        <w:p w14:paraId="0190812E" w14:textId="2394F51A" w:rsidR="001D3013" w:rsidRPr="00217D19" w:rsidRDefault="00203008">
          <w:pPr>
            <w:pStyle w:val="TDC1"/>
            <w:rPr>
              <w:rFonts w:asciiTheme="minorHAnsi" w:eastAsiaTheme="minorEastAsia" w:hAnsiTheme="minorHAnsi"/>
              <w:noProof/>
              <w:sz w:val="20"/>
              <w:szCs w:val="20"/>
              <w:lang w:val="es-AR" w:eastAsia="es-AR"/>
            </w:rPr>
          </w:pPr>
          <w:hyperlink w:anchor="_Toc114152227" w:history="1">
            <w:r w:rsidR="001D3013" w:rsidRPr="00217D19">
              <w:rPr>
                <w:rStyle w:val="Hipervnculo"/>
                <w:rFonts w:cs="Arial"/>
                <w:noProof/>
                <w:sz w:val="20"/>
                <w:szCs w:val="20"/>
              </w:rPr>
              <w:t>Annex 4 – Indicative Outline of Stakeholder Engagement Plan and Grievance Mechanism</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_Toc114152227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76</w:t>
            </w:r>
            <w:r w:rsidR="001D3013" w:rsidRPr="00217D19">
              <w:rPr>
                <w:noProof/>
                <w:webHidden/>
                <w:sz w:val="20"/>
                <w:szCs w:val="20"/>
              </w:rPr>
              <w:fldChar w:fldCharType="end"/>
            </w:r>
          </w:hyperlink>
        </w:p>
        <w:p w14:paraId="1FB87710" w14:textId="20036634" w:rsidR="001D3013" w:rsidRPr="00217D19" w:rsidRDefault="00203008">
          <w:pPr>
            <w:pStyle w:val="TDC1"/>
            <w:rPr>
              <w:rFonts w:asciiTheme="minorHAnsi" w:eastAsiaTheme="minorEastAsia" w:hAnsiTheme="minorHAnsi"/>
              <w:noProof/>
              <w:sz w:val="20"/>
              <w:szCs w:val="20"/>
              <w:lang w:val="es-AR" w:eastAsia="es-AR"/>
            </w:rPr>
          </w:pPr>
          <w:hyperlink w:anchor="_Toc114152228" w:history="1">
            <w:r w:rsidR="001D3013" w:rsidRPr="00217D19">
              <w:rPr>
                <w:rStyle w:val="Hipervnculo"/>
                <w:rFonts w:cs="Arial"/>
                <w:noProof/>
                <w:sz w:val="20"/>
                <w:szCs w:val="20"/>
              </w:rPr>
              <w:t>Annex 5 – Risk alignment CAF / GCF and Screening of safeguard evaluation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_Toc114152228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77</w:t>
            </w:r>
            <w:r w:rsidR="001D3013" w:rsidRPr="00217D19">
              <w:rPr>
                <w:noProof/>
                <w:webHidden/>
                <w:sz w:val="20"/>
                <w:szCs w:val="20"/>
              </w:rPr>
              <w:fldChar w:fldCharType="end"/>
            </w:r>
          </w:hyperlink>
        </w:p>
        <w:p w14:paraId="02BC60E2" w14:textId="3D0E4EBE" w:rsidR="001D3013" w:rsidRPr="00217D19" w:rsidRDefault="00203008">
          <w:pPr>
            <w:pStyle w:val="TDC1"/>
            <w:rPr>
              <w:rFonts w:asciiTheme="minorHAnsi" w:eastAsiaTheme="minorEastAsia" w:hAnsiTheme="minorHAnsi"/>
              <w:noProof/>
              <w:sz w:val="20"/>
              <w:szCs w:val="20"/>
              <w:lang w:val="es-AR" w:eastAsia="es-AR"/>
            </w:rPr>
          </w:pPr>
          <w:hyperlink w:anchor="_Toc114152229" w:history="1">
            <w:r w:rsidR="001D3013" w:rsidRPr="00217D19">
              <w:rPr>
                <w:rStyle w:val="Hipervnculo"/>
                <w:rFonts w:cs="Arial"/>
                <w:noProof/>
                <w:sz w:val="20"/>
                <w:szCs w:val="20"/>
              </w:rPr>
              <w:t>Annex 6 – Safeguard S06 – Ethnic groups and Cultural Diversity</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_Toc114152229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82</w:t>
            </w:r>
            <w:r w:rsidR="001D3013" w:rsidRPr="00217D19">
              <w:rPr>
                <w:noProof/>
                <w:webHidden/>
                <w:sz w:val="20"/>
                <w:szCs w:val="20"/>
              </w:rPr>
              <w:fldChar w:fldCharType="end"/>
            </w:r>
          </w:hyperlink>
        </w:p>
        <w:p w14:paraId="2832C1C1" w14:textId="4A2E7A7D" w:rsidR="001D3013" w:rsidRPr="00217D19" w:rsidRDefault="00203008" w:rsidP="00217D19">
          <w:pPr>
            <w:pStyle w:val="TDC1"/>
            <w:rPr>
              <w:rFonts w:asciiTheme="minorHAnsi" w:eastAsiaTheme="minorEastAsia" w:hAnsiTheme="minorHAnsi"/>
              <w:noProof/>
              <w:sz w:val="20"/>
              <w:szCs w:val="20"/>
              <w:lang w:val="es-AR" w:eastAsia="es-AR"/>
            </w:rPr>
          </w:pPr>
          <w:hyperlink w:anchor="_Toc114152249" w:history="1">
            <w:r w:rsidR="001D3013" w:rsidRPr="00217D19">
              <w:rPr>
                <w:rStyle w:val="Hipervnculo"/>
                <w:noProof/>
                <w:sz w:val="20"/>
                <w:szCs w:val="20"/>
              </w:rPr>
              <w:t>Annex 7: Summary of Feasibility Study for Sub-Program 2 (Annex 2 to FP)</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_Toc114152249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91</w:t>
            </w:r>
            <w:r w:rsidR="001D3013" w:rsidRPr="00217D19">
              <w:rPr>
                <w:noProof/>
                <w:webHidden/>
                <w:sz w:val="20"/>
                <w:szCs w:val="20"/>
              </w:rPr>
              <w:fldChar w:fldCharType="end"/>
            </w:r>
          </w:hyperlink>
        </w:p>
        <w:p w14:paraId="3E3FD22B" w14:textId="385789C7" w:rsidR="001D3013" w:rsidRPr="00217D19" w:rsidRDefault="00203008">
          <w:pPr>
            <w:pStyle w:val="TDC1"/>
            <w:rPr>
              <w:rFonts w:asciiTheme="minorHAnsi" w:eastAsiaTheme="minorEastAsia" w:hAnsiTheme="minorHAnsi"/>
              <w:noProof/>
              <w:sz w:val="20"/>
              <w:szCs w:val="20"/>
              <w:lang w:val="es-AR" w:eastAsia="es-AR"/>
            </w:rPr>
          </w:pPr>
          <w:hyperlink w:anchor="_Toc114152253" w:history="1">
            <w:r w:rsidR="001D3013" w:rsidRPr="00217D19">
              <w:rPr>
                <w:rStyle w:val="Hipervnculo"/>
                <w:noProof/>
                <w:sz w:val="20"/>
                <w:szCs w:val="20"/>
              </w:rPr>
              <w:t>Annex 8: Gender Assessment: Key Areas of Intervention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_Toc114152253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96</w:t>
            </w:r>
            <w:r w:rsidR="001D3013" w:rsidRPr="00217D19">
              <w:rPr>
                <w:noProof/>
                <w:webHidden/>
                <w:sz w:val="20"/>
                <w:szCs w:val="20"/>
              </w:rPr>
              <w:fldChar w:fldCharType="end"/>
            </w:r>
          </w:hyperlink>
        </w:p>
        <w:p w14:paraId="316E9948" w14:textId="63CEAD74" w:rsidR="001D3013" w:rsidRPr="00217D19" w:rsidRDefault="00203008">
          <w:pPr>
            <w:pStyle w:val="TDC1"/>
            <w:rPr>
              <w:rFonts w:asciiTheme="minorHAnsi" w:eastAsiaTheme="minorEastAsia" w:hAnsiTheme="minorHAnsi"/>
              <w:noProof/>
              <w:sz w:val="20"/>
              <w:szCs w:val="20"/>
              <w:lang w:val="es-AR" w:eastAsia="es-AR"/>
            </w:rPr>
          </w:pPr>
          <w:hyperlink w:anchor="_Toc114152254" w:history="1">
            <w:r w:rsidR="001D3013" w:rsidRPr="00217D19">
              <w:rPr>
                <w:rStyle w:val="Hipervnculo"/>
                <w:noProof/>
                <w:sz w:val="20"/>
                <w:szCs w:val="20"/>
              </w:rPr>
              <w:t>Annex 9: Indicative outline of resettlement Plan</w:t>
            </w:r>
            <w:r w:rsidR="001D3013" w:rsidRPr="00217D19">
              <w:rPr>
                <w:noProof/>
                <w:webHidden/>
                <w:sz w:val="20"/>
                <w:szCs w:val="20"/>
              </w:rPr>
              <w:tab/>
            </w:r>
            <w:r w:rsidR="001D3013" w:rsidRPr="00217D19">
              <w:rPr>
                <w:noProof/>
                <w:webHidden/>
                <w:sz w:val="20"/>
                <w:szCs w:val="20"/>
              </w:rPr>
              <w:fldChar w:fldCharType="begin"/>
            </w:r>
            <w:r w:rsidR="001D3013" w:rsidRPr="00217D19">
              <w:rPr>
                <w:noProof/>
                <w:webHidden/>
                <w:sz w:val="20"/>
                <w:szCs w:val="20"/>
              </w:rPr>
              <w:instrText xml:space="preserve"> PAGEREF _Toc114152254 \h </w:instrText>
            </w:r>
            <w:r w:rsidR="001D3013" w:rsidRPr="00217D19">
              <w:rPr>
                <w:noProof/>
                <w:webHidden/>
                <w:sz w:val="20"/>
                <w:szCs w:val="20"/>
              </w:rPr>
            </w:r>
            <w:r w:rsidR="001D3013" w:rsidRPr="00217D19">
              <w:rPr>
                <w:noProof/>
                <w:webHidden/>
                <w:sz w:val="20"/>
                <w:szCs w:val="20"/>
              </w:rPr>
              <w:fldChar w:fldCharType="separate"/>
            </w:r>
            <w:r w:rsidR="003A1012">
              <w:rPr>
                <w:noProof/>
                <w:webHidden/>
                <w:sz w:val="20"/>
                <w:szCs w:val="20"/>
              </w:rPr>
              <w:t>98</w:t>
            </w:r>
            <w:r w:rsidR="001D3013" w:rsidRPr="00217D19">
              <w:rPr>
                <w:noProof/>
                <w:webHidden/>
                <w:sz w:val="20"/>
                <w:szCs w:val="20"/>
              </w:rPr>
              <w:fldChar w:fldCharType="end"/>
            </w:r>
          </w:hyperlink>
        </w:p>
        <w:p w14:paraId="0BFD8F48" w14:textId="1F26B8AF" w:rsidR="00EF1F8C" w:rsidRPr="00CD66B5" w:rsidRDefault="00EF1F8C" w:rsidP="008467C4">
          <w:pPr>
            <w:pStyle w:val="TDC1"/>
            <w:spacing w:before="120" w:after="120" w:line="240" w:lineRule="atLeast"/>
            <w:rPr>
              <w:rFonts w:asciiTheme="minorHAnsi" w:eastAsiaTheme="minorEastAsia" w:hAnsiTheme="minorHAnsi"/>
              <w:noProof/>
              <w:lang w:val="es-AR" w:eastAsia="es-AR"/>
            </w:rPr>
          </w:pPr>
          <w:r w:rsidRPr="00217D19">
            <w:rPr>
              <w:rFonts w:cs="Arial"/>
              <w:sz w:val="20"/>
              <w:szCs w:val="20"/>
            </w:rPr>
            <w:fldChar w:fldCharType="end"/>
          </w:r>
        </w:p>
      </w:sdtContent>
    </w:sdt>
    <w:p w14:paraId="12DB0B80" w14:textId="0775609D" w:rsidR="00EF1F8C" w:rsidRPr="00102605" w:rsidRDefault="00335B9E" w:rsidP="00D07B6F">
      <w:pPr>
        <w:pStyle w:val="Ttulo1"/>
        <w:numPr>
          <w:ilvl w:val="0"/>
          <w:numId w:val="1"/>
        </w:numPr>
        <w:spacing w:before="0" w:after="0" w:line="240" w:lineRule="auto"/>
      </w:pPr>
      <w:bookmarkStart w:id="0" w:name="_Toc114152199"/>
      <w:r w:rsidRPr="00102605">
        <w:t>Executive Summary</w:t>
      </w:r>
      <w:bookmarkEnd w:id="0"/>
    </w:p>
    <w:p w14:paraId="673BDCFB" w14:textId="77777777" w:rsidR="00D07B6F" w:rsidRDefault="00D07B6F" w:rsidP="00D07B6F">
      <w:pPr>
        <w:spacing w:after="0" w:line="240" w:lineRule="auto"/>
      </w:pPr>
    </w:p>
    <w:p w14:paraId="1FF0FA24" w14:textId="3378B3B3" w:rsidR="00C71482" w:rsidRDefault="00961383" w:rsidP="00D07B6F">
      <w:pPr>
        <w:spacing w:after="0" w:line="240" w:lineRule="auto"/>
      </w:pPr>
      <w:r w:rsidRPr="00102605">
        <w:t xml:space="preserve">The present document </w:t>
      </w:r>
      <w:r w:rsidR="00067496" w:rsidRPr="00102605">
        <w:t xml:space="preserve">expounds </w:t>
      </w:r>
      <w:r w:rsidRPr="00102605">
        <w:t xml:space="preserve">the Environmental and Social </w:t>
      </w:r>
      <w:r w:rsidR="008C7524">
        <w:t xml:space="preserve">Management </w:t>
      </w:r>
      <w:r w:rsidRPr="00102605">
        <w:t xml:space="preserve">Framework </w:t>
      </w:r>
      <w:r w:rsidR="00984943">
        <w:t xml:space="preserve">(ESMF) </w:t>
      </w:r>
      <w:r w:rsidRPr="00102605">
        <w:t>of the ‘</w:t>
      </w:r>
      <w:r w:rsidRPr="00102605">
        <w:rPr>
          <w:b/>
        </w:rPr>
        <w:t xml:space="preserve">E-Mobility and Low Carbon Transportation’ </w:t>
      </w:r>
      <w:r w:rsidR="00DD7442" w:rsidRPr="00102605">
        <w:t>Program</w:t>
      </w:r>
      <w:r w:rsidRPr="00102605">
        <w:t xml:space="preserve"> or ‘</w:t>
      </w:r>
      <w:r w:rsidRPr="00102605">
        <w:rPr>
          <w:b/>
        </w:rPr>
        <w:t>E-motion’</w:t>
      </w:r>
      <w:r w:rsidRPr="00102605">
        <w:t xml:space="preserve"> </w:t>
      </w:r>
      <w:r w:rsidR="00DD7442" w:rsidRPr="00102605">
        <w:t>Program</w:t>
      </w:r>
      <w:r w:rsidR="00A82AE3" w:rsidRPr="00102605">
        <w:t>, implemented by CAF</w:t>
      </w:r>
      <w:r w:rsidRPr="00102605">
        <w:t>.</w:t>
      </w:r>
    </w:p>
    <w:p w14:paraId="3D95D298" w14:textId="77777777" w:rsidR="00D07B6F" w:rsidRPr="00102605" w:rsidRDefault="00D07B6F" w:rsidP="00D07B6F">
      <w:pPr>
        <w:spacing w:after="0" w:line="240" w:lineRule="auto"/>
      </w:pPr>
    </w:p>
    <w:p w14:paraId="3C01BAED" w14:textId="3D82847E" w:rsidR="00C71482" w:rsidRDefault="00C71482" w:rsidP="00D07B6F">
      <w:pPr>
        <w:spacing w:after="0" w:line="240" w:lineRule="auto"/>
      </w:pPr>
      <w:r w:rsidRPr="00102605">
        <w:t>E-Mo</w:t>
      </w:r>
      <w:r w:rsidR="00BB27E1">
        <w:t>tion</w:t>
      </w:r>
      <w:r w:rsidRPr="00102605">
        <w:t xml:space="preserve"> </w:t>
      </w:r>
      <w:r w:rsidR="00BB27E1">
        <w:t>p</w:t>
      </w:r>
      <w:r w:rsidRPr="00102605">
        <w:t>rogram aims to enable a large-scale regional transition towards electro-mobility in Latin America focusing on intensive use vehicles leading to reduced fossil fuel consumption, greenhouse gas emissions and air pollutions.</w:t>
      </w:r>
      <w:r w:rsidR="00DD1032" w:rsidRPr="00102605">
        <w:t xml:space="preserve"> E</w:t>
      </w:r>
      <w:r w:rsidR="00F60711" w:rsidRPr="00102605">
        <w:t xml:space="preserve">-motion </w:t>
      </w:r>
      <w:r w:rsidRPr="00102605">
        <w:t xml:space="preserve">Program will be implemented in two Subprograms and through two GCF Funding Proposals: one by AFD (Sub-Program 1) as an Accredited Entity to cover 8 countries, and one by CAF (Sub-Program 2) to cover 3 countries, all of them located in Latin America. </w:t>
      </w:r>
    </w:p>
    <w:p w14:paraId="5DFCE8E7" w14:textId="77777777" w:rsidR="00D07B6F" w:rsidRPr="00102605" w:rsidRDefault="00D07B6F" w:rsidP="00D07B6F">
      <w:pPr>
        <w:spacing w:after="0" w:line="240" w:lineRule="auto"/>
      </w:pPr>
    </w:p>
    <w:p w14:paraId="296CDF87" w14:textId="5321B18F" w:rsidR="00C71482" w:rsidRDefault="00C71482" w:rsidP="00D07B6F">
      <w:pPr>
        <w:spacing w:after="0" w:line="240" w:lineRule="auto"/>
      </w:pPr>
      <w:r w:rsidRPr="00102605">
        <w:t xml:space="preserve">The E-Motion Sub-Program 2 shall contribute to overcome the barriers to mass deployment of commercial </w:t>
      </w:r>
      <w:r w:rsidR="00143368">
        <w:t>EVs</w:t>
      </w:r>
      <w:r w:rsidRPr="00102605">
        <w:t xml:space="preserve"> in Uruguay, </w:t>
      </w:r>
      <w:r w:rsidR="00102605" w:rsidRPr="00102605">
        <w:t>Paraguay,</w:t>
      </w:r>
      <w:r w:rsidRPr="00102605">
        <w:t xml:space="preserve"> and Panamá. </w:t>
      </w:r>
      <w:r w:rsidR="00464009" w:rsidRPr="00102605">
        <w:t xml:space="preserve">The potential segments for investment sub-projects in Uruguay, Paraguay and Panama that have been </w:t>
      </w:r>
      <w:r w:rsidRPr="00102605">
        <w:t>identified are:</w:t>
      </w:r>
    </w:p>
    <w:p w14:paraId="2231440C" w14:textId="77777777" w:rsidR="00D07B6F" w:rsidRPr="00102605" w:rsidRDefault="00D07B6F" w:rsidP="00D07B6F">
      <w:pPr>
        <w:spacing w:after="0" w:line="240" w:lineRule="auto"/>
        <w:rPr>
          <w:rFonts w:asciiTheme="minorBidi" w:hAnsiTheme="minorBidi"/>
        </w:rPr>
      </w:pPr>
    </w:p>
    <w:p w14:paraId="6706B5E8" w14:textId="77777777" w:rsidR="00D96CCE" w:rsidRPr="00102605" w:rsidRDefault="00D96CCE" w:rsidP="00D07B6F">
      <w:pPr>
        <w:pStyle w:val="Prrafodelista"/>
        <w:numPr>
          <w:ilvl w:val="0"/>
          <w:numId w:val="34"/>
        </w:numPr>
        <w:spacing w:after="0" w:line="240" w:lineRule="auto"/>
      </w:pPr>
      <w:r w:rsidRPr="00EF47DA">
        <w:rPr>
          <w:b/>
          <w:bCs/>
        </w:rPr>
        <w:t>e-buses</w:t>
      </w:r>
      <w:r w:rsidRPr="00102605">
        <w:t xml:space="preserve">. Public / private bus operators with different legal regimes, which could operate 650 e-buses. In business model 1 (direct purchase), the operators would own/lease the fleet (e.g., leave from a special purpose vehicle). </w:t>
      </w:r>
    </w:p>
    <w:p w14:paraId="0CB681D8" w14:textId="23FC984A" w:rsidR="00D96CCE" w:rsidRPr="00102605" w:rsidRDefault="00D96CCE" w:rsidP="00D07B6F">
      <w:pPr>
        <w:pStyle w:val="Prrafodelista"/>
        <w:numPr>
          <w:ilvl w:val="0"/>
          <w:numId w:val="34"/>
        </w:numPr>
        <w:spacing w:after="0" w:line="240" w:lineRule="auto"/>
      </w:pPr>
      <w:r w:rsidRPr="00F62A6B">
        <w:rPr>
          <w:b/>
          <w:bCs/>
        </w:rPr>
        <w:t>e-LCV</w:t>
      </w:r>
      <w:r w:rsidRPr="00102605">
        <w:t>. A variety of LCV users, both public entities and private companies are interested in investing in this type of EV. The potential is 1,150 e-LCV to be financed under the Sub-program 2. This operation could be managed via a funding Special Purpose Vehicle (SPV) leasing those vehicles. From this total, 900 e</w:t>
      </w:r>
      <w:r w:rsidR="001F3C24">
        <w:t>-</w:t>
      </w:r>
      <w:r w:rsidRPr="00102605">
        <w:t>LCV are for public fleet operations</w:t>
      </w:r>
      <w:r w:rsidR="00A07959">
        <w:t xml:space="preserve">. </w:t>
      </w:r>
      <w:r w:rsidRPr="00102605">
        <w:t>The three countries have been implemented and/or plan to create a scrapping program</w:t>
      </w:r>
      <w:r w:rsidR="007A2D94">
        <w:rPr>
          <w:rStyle w:val="Refdenotaalpie"/>
        </w:rPr>
        <w:footnoteReference w:id="2"/>
      </w:r>
      <w:r w:rsidRPr="00102605">
        <w:t>. To have a scrapping program for public fleet will enable the scrapping for other segments such private LCVs</w:t>
      </w:r>
    </w:p>
    <w:p w14:paraId="24E2860D" w14:textId="1309BF9A" w:rsidR="00C71482" w:rsidRDefault="00C71482" w:rsidP="00D07B6F">
      <w:pPr>
        <w:spacing w:after="0" w:line="240" w:lineRule="auto"/>
      </w:pPr>
    </w:p>
    <w:p w14:paraId="53439646" w14:textId="1FCF6540" w:rsidR="004E4D36" w:rsidRDefault="004E4D36" w:rsidP="00D07B6F">
      <w:pPr>
        <w:spacing w:after="0" w:line="240" w:lineRule="auto"/>
      </w:pPr>
      <w:r w:rsidRPr="003C21D8">
        <w:t xml:space="preserve">The </w:t>
      </w:r>
      <w:r>
        <w:t>E-Motion Sub-</w:t>
      </w:r>
      <w:r w:rsidRPr="003C21D8">
        <w:t>Program</w:t>
      </w:r>
      <w:r>
        <w:t xml:space="preserve"> 2</w:t>
      </w:r>
      <w:r w:rsidRPr="003C21D8">
        <w:t xml:space="preserve"> envisages to finance at least one project in each participating country. The initial project </w:t>
      </w:r>
      <w:r w:rsidRPr="00041472">
        <w:t xml:space="preserve">pipeline includes </w:t>
      </w:r>
      <w:r w:rsidRPr="000F0C99">
        <w:rPr>
          <w:b/>
        </w:rPr>
        <w:t xml:space="preserve">14 </w:t>
      </w:r>
      <w:r>
        <w:rPr>
          <w:b/>
        </w:rPr>
        <w:t>sub-projects</w:t>
      </w:r>
      <w:r w:rsidRPr="00041472">
        <w:t xml:space="preserve"> </w:t>
      </w:r>
      <w:r w:rsidRPr="00CD17A8">
        <w:t>(6 in Panama, 4 in Paraguay and 4 in Uruguay).</w:t>
      </w:r>
      <w:r w:rsidRPr="003C21D8">
        <w:t xml:space="preserve"> The Program will </w:t>
      </w:r>
      <w:r w:rsidR="00A07959" w:rsidRPr="003C21D8">
        <w:t>directly finance</w:t>
      </w:r>
      <w:r w:rsidRPr="003C21D8">
        <w:t xml:space="preserve"> </w:t>
      </w:r>
      <w:r w:rsidR="00C91731">
        <w:t>e-buses</w:t>
      </w:r>
      <w:r w:rsidRPr="003C21D8">
        <w:t xml:space="preserve"> </w:t>
      </w:r>
      <w:r>
        <w:t>sub-projects</w:t>
      </w:r>
      <w:r w:rsidRPr="003C21D8">
        <w:t xml:space="preserve"> and will work also </w:t>
      </w:r>
      <w:r w:rsidRPr="00FC5E93">
        <w:t xml:space="preserve">through financial intermediaries which provide loans to purchasers </w:t>
      </w:r>
      <w:r w:rsidR="007D45D5">
        <w:t>E-LCV</w:t>
      </w:r>
      <w:r w:rsidRPr="00FC5E93">
        <w:t>.</w:t>
      </w:r>
    </w:p>
    <w:p w14:paraId="1AA37A39" w14:textId="77777777" w:rsidR="004E4D36" w:rsidRPr="00102605" w:rsidRDefault="004E4D36" w:rsidP="00D07B6F">
      <w:pPr>
        <w:spacing w:after="0" w:line="240" w:lineRule="auto"/>
      </w:pPr>
    </w:p>
    <w:p w14:paraId="7035B607" w14:textId="26FD31E2" w:rsidR="00C71482" w:rsidRDefault="00C71482" w:rsidP="00D07B6F">
      <w:pPr>
        <w:shd w:val="clear" w:color="auto" w:fill="FFFFFF" w:themeFill="background1"/>
        <w:spacing w:after="0" w:line="240" w:lineRule="auto"/>
      </w:pPr>
      <w:r w:rsidRPr="00102605">
        <w:t xml:space="preserve">Overall, </w:t>
      </w:r>
      <w:r w:rsidR="00F60711" w:rsidRPr="00102605">
        <w:t>Sub-Program 2</w:t>
      </w:r>
      <w:r w:rsidRPr="00102605">
        <w:t xml:space="preserve"> </w:t>
      </w:r>
      <w:r w:rsidR="00131072">
        <w:t xml:space="preserve">is </w:t>
      </w:r>
      <w:r w:rsidR="00131072" w:rsidRPr="00131072">
        <w:t xml:space="preserve">classified as </w:t>
      </w:r>
      <w:r w:rsidR="00A7644F" w:rsidRPr="00131072">
        <w:t xml:space="preserve">Category </w:t>
      </w:r>
      <w:r w:rsidR="00131072" w:rsidRPr="00131072">
        <w:t xml:space="preserve">B </w:t>
      </w:r>
      <w:proofErr w:type="gramStart"/>
      <w:r w:rsidR="00A7644F">
        <w:t>in regard to</w:t>
      </w:r>
      <w:proofErr w:type="gramEnd"/>
      <w:r w:rsidR="00A7644F">
        <w:t xml:space="preserve"> its potential </w:t>
      </w:r>
      <w:r w:rsidR="00131072" w:rsidRPr="00131072">
        <w:t xml:space="preserve">environmental and social risks and </w:t>
      </w:r>
      <w:r w:rsidR="00A7644F">
        <w:t xml:space="preserve">adverse </w:t>
      </w:r>
      <w:r w:rsidR="00131072" w:rsidRPr="00131072">
        <w:t>impacts</w:t>
      </w:r>
      <w:r w:rsidR="00A7644F">
        <w:t xml:space="preserve">, which </w:t>
      </w:r>
      <w:r w:rsidR="00A7644F" w:rsidRPr="00A7644F">
        <w:t xml:space="preserve">are limited in nature, reduced in number and localized (site specific), and that </w:t>
      </w:r>
      <w:r w:rsidR="00A7644F">
        <w:t xml:space="preserve">can be readily addressed with standard mitigation measures and best management practices. The proposed Environmental and Social Management Framework (ESMF) establishes general guidelines to help implementing partners develop </w:t>
      </w:r>
      <w:r w:rsidR="004524F6">
        <w:t>Sub-project specific Environmental and Social Management Plans</w:t>
      </w:r>
      <w:r w:rsidR="00977EB3">
        <w:t xml:space="preserve"> (ESMP)</w:t>
      </w:r>
      <w:r w:rsidR="004524F6">
        <w:t xml:space="preserve"> in accordance with CAF Safeguards that are aligned with </w:t>
      </w:r>
      <w:r w:rsidR="004524F6" w:rsidRPr="004524F6">
        <w:t>GCF´s interim environmental and social safeguards and performance standards</w:t>
      </w:r>
      <w:r w:rsidR="004524F6">
        <w:t xml:space="preserve">. Sub.-Program 2 will support only </w:t>
      </w:r>
      <w:r w:rsidRPr="00102605">
        <w:t xml:space="preserve">category C and B </w:t>
      </w:r>
      <w:r w:rsidR="008271A5">
        <w:t>sub-</w:t>
      </w:r>
      <w:r w:rsidRPr="00102605">
        <w:t>projects</w:t>
      </w:r>
      <w:r w:rsidR="004524F6">
        <w:t>:</w:t>
      </w:r>
      <w:r w:rsidRPr="00102605">
        <w:t xml:space="preserve"> </w:t>
      </w:r>
      <w:r w:rsidR="004524F6">
        <w:t>H</w:t>
      </w:r>
      <w:r w:rsidRPr="00102605">
        <w:t xml:space="preserve">igh risk category A </w:t>
      </w:r>
      <w:r w:rsidR="008271A5">
        <w:t>sub-</w:t>
      </w:r>
      <w:r w:rsidRPr="00102605">
        <w:t>projects will be excluded</w:t>
      </w:r>
      <w:r w:rsidR="004524F6">
        <w:t xml:space="preserve"> (refer to </w:t>
      </w:r>
      <w:r w:rsidR="008752C0" w:rsidRPr="002E4661">
        <w:t xml:space="preserve">annex </w:t>
      </w:r>
      <w:r w:rsidR="007C1730" w:rsidRPr="002E4661">
        <w:t>5</w:t>
      </w:r>
      <w:r w:rsidR="003C4312" w:rsidRPr="002E4661">
        <w:t xml:space="preserve"> </w:t>
      </w:r>
      <w:r w:rsidR="004524F6">
        <w:t xml:space="preserve">for </w:t>
      </w:r>
      <w:r w:rsidR="008752C0" w:rsidRPr="008752C0">
        <w:t>the equivalence of CAF's environmental and social risk categories with those of the GCF</w:t>
      </w:r>
      <w:r w:rsidR="004524F6">
        <w:t>)</w:t>
      </w:r>
      <w:r w:rsidR="008752C0">
        <w:t>.</w:t>
      </w:r>
    </w:p>
    <w:p w14:paraId="0C890F42" w14:textId="77777777" w:rsidR="00D07B6F" w:rsidRDefault="00D07B6F" w:rsidP="00D07B6F">
      <w:pPr>
        <w:shd w:val="clear" w:color="auto" w:fill="FFFFFF" w:themeFill="background1"/>
        <w:spacing w:after="0" w:line="240" w:lineRule="auto"/>
      </w:pPr>
    </w:p>
    <w:p w14:paraId="5B2834E3" w14:textId="77777777" w:rsidR="00D76B9B" w:rsidRDefault="00D76B9B" w:rsidP="00D07B6F">
      <w:pPr>
        <w:spacing w:after="0" w:line="240" w:lineRule="auto"/>
      </w:pPr>
    </w:p>
    <w:p w14:paraId="6E223239" w14:textId="77777777" w:rsidR="00D76B9B" w:rsidRDefault="00D76B9B" w:rsidP="00D07B6F">
      <w:pPr>
        <w:spacing w:after="0" w:line="240" w:lineRule="auto"/>
      </w:pPr>
    </w:p>
    <w:p w14:paraId="5808A4CF" w14:textId="0BFFC481" w:rsidR="00D2236F" w:rsidRPr="00102605" w:rsidRDefault="00C71482" w:rsidP="00D07B6F">
      <w:pPr>
        <w:spacing w:after="0" w:line="240" w:lineRule="auto"/>
      </w:pPr>
      <w:r w:rsidRPr="00102605">
        <w:t xml:space="preserve">The positive impact of </w:t>
      </w:r>
      <w:r w:rsidR="00143368">
        <w:t>EVs</w:t>
      </w:r>
      <w:r w:rsidRPr="00102605">
        <w:t xml:space="preserve"> comprises reduced GHG emissions, reduced air pollution, reduced noise levels, reduced dependence on fossil fuels and increased energy efficiency. </w:t>
      </w:r>
      <w:r w:rsidRPr="00102605">
        <w:rPr>
          <w:color w:val="000000" w:themeColor="text1"/>
          <w:lang w:eastAsia="ja-JP"/>
        </w:rPr>
        <w:t xml:space="preserve">The </w:t>
      </w:r>
      <w:r w:rsidR="00F42A76" w:rsidRPr="00102605">
        <w:rPr>
          <w:color w:val="000000" w:themeColor="text1"/>
          <w:lang w:eastAsia="ja-JP"/>
        </w:rPr>
        <w:t>Sub-Program 2</w:t>
      </w:r>
      <w:r w:rsidR="00D2236F" w:rsidRPr="00102605">
        <w:rPr>
          <w:color w:val="000000" w:themeColor="text1"/>
          <w:lang w:eastAsia="ja-JP"/>
        </w:rPr>
        <w:t xml:space="preserve"> </w:t>
      </w:r>
      <w:r w:rsidRPr="00102605">
        <w:rPr>
          <w:color w:val="000000" w:themeColor="text1"/>
          <w:lang w:eastAsia="ja-JP"/>
        </w:rPr>
        <w:t>expect</w:t>
      </w:r>
      <w:r w:rsidR="00D2236F" w:rsidRPr="00102605">
        <w:rPr>
          <w:color w:val="000000" w:themeColor="text1"/>
          <w:lang w:eastAsia="ja-JP"/>
        </w:rPr>
        <w:t>s</w:t>
      </w:r>
      <w:r w:rsidRPr="00102605">
        <w:rPr>
          <w:color w:val="000000" w:themeColor="text1"/>
          <w:lang w:eastAsia="ja-JP"/>
        </w:rPr>
        <w:t xml:space="preserve"> direct emissions reductions of </w:t>
      </w:r>
      <w:r w:rsidR="00203208" w:rsidRPr="00102605">
        <w:rPr>
          <w:color w:val="000000" w:themeColor="text1"/>
          <w:lang w:eastAsia="ja-JP"/>
        </w:rPr>
        <w:t>3</w:t>
      </w:r>
      <w:r w:rsidRPr="00102605">
        <w:rPr>
          <w:color w:val="000000" w:themeColor="text1"/>
          <w:lang w:eastAsia="ja-JP"/>
        </w:rPr>
        <w:t>,</w:t>
      </w:r>
      <w:r w:rsidR="00774B38" w:rsidRPr="00102605">
        <w:rPr>
          <w:color w:val="000000" w:themeColor="text1"/>
          <w:lang w:eastAsia="ja-JP"/>
        </w:rPr>
        <w:t>300,</w:t>
      </w:r>
      <w:r w:rsidRPr="00102605">
        <w:rPr>
          <w:color w:val="000000" w:themeColor="text1"/>
          <w:lang w:eastAsia="ja-JP"/>
        </w:rPr>
        <w:t>000 tCO</w:t>
      </w:r>
      <w:r w:rsidRPr="00102605">
        <w:rPr>
          <w:color w:val="000000" w:themeColor="text1"/>
          <w:vertAlign w:val="subscript"/>
          <w:lang w:eastAsia="ja-JP"/>
        </w:rPr>
        <w:t>2</w:t>
      </w:r>
      <w:r w:rsidRPr="00102605">
        <w:rPr>
          <w:rFonts w:asciiTheme="minorBidi" w:hAnsiTheme="minorBidi"/>
          <w:color w:val="000000" w:themeColor="text1"/>
          <w:sz w:val="20"/>
          <w:szCs w:val="20"/>
          <w:vertAlign w:val="subscript"/>
          <w:lang w:eastAsia="ja-JP"/>
        </w:rPr>
        <w:t>e</w:t>
      </w:r>
      <w:r w:rsidRPr="00102605">
        <w:rPr>
          <w:color w:val="000000" w:themeColor="text1"/>
          <w:lang w:eastAsia="ja-JP"/>
        </w:rPr>
        <w:t xml:space="preserve"> over the assets lifetime of investments co-financed by the </w:t>
      </w:r>
      <w:r w:rsidR="00F42A76" w:rsidRPr="00102605">
        <w:rPr>
          <w:color w:val="000000" w:themeColor="text1"/>
          <w:lang w:eastAsia="ja-JP"/>
        </w:rPr>
        <w:t>Sub-Program 2</w:t>
      </w:r>
      <w:r w:rsidR="00774B38" w:rsidRPr="00102605">
        <w:rPr>
          <w:color w:val="000000" w:themeColor="text1"/>
          <w:lang w:eastAsia="ja-JP"/>
        </w:rPr>
        <w:t xml:space="preserve">. </w:t>
      </w:r>
      <w:r w:rsidR="00D2236F" w:rsidRPr="00102605">
        <w:rPr>
          <w:color w:val="000000" w:themeColor="text1"/>
          <w:lang w:eastAsia="ja-JP"/>
        </w:rPr>
        <w:t xml:space="preserve">Major environmental co-benefits are reduced emissions of pollutants and reduced noise emissions. The major concern for air pollution in the cities is PM2,5 and NOx emissions. The projected reduction of pollutants of the </w:t>
      </w:r>
      <w:r w:rsidR="00F42A76" w:rsidRPr="00102605">
        <w:rPr>
          <w:color w:val="000000" w:themeColor="text1"/>
          <w:lang w:eastAsia="ja-JP"/>
        </w:rPr>
        <w:t>Sub-Program 2</w:t>
      </w:r>
      <w:r w:rsidR="00D2236F" w:rsidRPr="00102605">
        <w:rPr>
          <w:color w:val="000000" w:themeColor="text1"/>
          <w:lang w:eastAsia="ja-JP"/>
        </w:rPr>
        <w:t xml:space="preserve"> in Panama, Paraguay and Uruguay is </w:t>
      </w:r>
      <w:r w:rsidR="00966D44" w:rsidRPr="00102605">
        <w:rPr>
          <w:color w:val="000000" w:themeColor="text1"/>
          <w:lang w:eastAsia="ja-JP"/>
        </w:rPr>
        <w:t xml:space="preserve">80 </w:t>
      </w:r>
      <w:r w:rsidR="00D2236F" w:rsidRPr="00102605">
        <w:rPr>
          <w:color w:val="000000" w:themeColor="text1"/>
          <w:lang w:eastAsia="ja-JP"/>
        </w:rPr>
        <w:t xml:space="preserve">tPM2.5 and </w:t>
      </w:r>
      <w:r w:rsidR="00966D44" w:rsidRPr="00102605">
        <w:rPr>
          <w:color w:val="000000" w:themeColor="text1"/>
          <w:lang w:eastAsia="ja-JP"/>
        </w:rPr>
        <w:t>4</w:t>
      </w:r>
      <w:r w:rsidR="00D2236F" w:rsidRPr="00102605">
        <w:rPr>
          <w:color w:val="000000" w:themeColor="text1"/>
          <w:lang w:eastAsia="ja-JP"/>
        </w:rPr>
        <w:t>,</w:t>
      </w:r>
      <w:r w:rsidR="00966D44" w:rsidRPr="00102605">
        <w:rPr>
          <w:color w:val="000000" w:themeColor="text1"/>
          <w:lang w:eastAsia="ja-JP"/>
        </w:rPr>
        <w:t xml:space="preserve">080 </w:t>
      </w:r>
      <w:proofErr w:type="spellStart"/>
      <w:r w:rsidR="00D2236F" w:rsidRPr="00102605">
        <w:rPr>
          <w:color w:val="000000" w:themeColor="text1"/>
          <w:lang w:eastAsia="ja-JP"/>
        </w:rPr>
        <w:t>tNOx</w:t>
      </w:r>
      <w:proofErr w:type="spellEnd"/>
      <w:r w:rsidR="00D2236F" w:rsidRPr="00102605">
        <w:rPr>
          <w:color w:val="000000" w:themeColor="text1"/>
          <w:lang w:eastAsia="ja-JP"/>
        </w:rPr>
        <w:t xml:space="preserve">. </w:t>
      </w:r>
      <w:r w:rsidR="00D2236F" w:rsidRPr="00102605">
        <w:t xml:space="preserve">The </w:t>
      </w:r>
      <w:r w:rsidR="00F42A76" w:rsidRPr="00102605">
        <w:t>Sub-Program 2</w:t>
      </w:r>
      <w:r w:rsidR="00D2236F" w:rsidRPr="00102605">
        <w:t xml:space="preserve"> contributes to sustainable development goals (SDG) 3 (“good health and well-being”), SDG goal 7 (“affordable and clean energy”), SDG goal 9 (“industry, innovation and infrastructure”), SDG goal 11 (“sustainable cities and communities”), and SDG 13 (“climate action”).</w:t>
      </w:r>
    </w:p>
    <w:p w14:paraId="6C83F1B5" w14:textId="42C666F0" w:rsidR="00C71482" w:rsidRPr="00102605" w:rsidRDefault="00C71482" w:rsidP="00D07B6F">
      <w:pPr>
        <w:shd w:val="clear" w:color="auto" w:fill="FFFFFF" w:themeFill="background1"/>
        <w:spacing w:after="0" w:line="240" w:lineRule="auto"/>
        <w:rPr>
          <w:color w:val="000000" w:themeColor="text1"/>
          <w:lang w:eastAsia="ja-JP"/>
        </w:rPr>
      </w:pPr>
    </w:p>
    <w:p w14:paraId="5067EAA4" w14:textId="303B4763" w:rsidR="00D2236F" w:rsidRPr="00102605" w:rsidRDefault="00D2236F" w:rsidP="00D07B6F">
      <w:pPr>
        <w:shd w:val="clear" w:color="auto" w:fill="FFFFFF" w:themeFill="background1"/>
        <w:spacing w:after="0" w:line="240" w:lineRule="auto"/>
      </w:pPr>
      <w:r w:rsidRPr="00102605">
        <w:t xml:space="preserve">The main adverse impact will only manifest at the end of the </w:t>
      </w:r>
      <w:r w:rsidR="00143368">
        <w:t>EVs</w:t>
      </w:r>
      <w:r w:rsidRPr="00102605">
        <w:t xml:space="preserve"> battery life when they no longer match the high requirements needed for electromobility. Batteries from </w:t>
      </w:r>
      <w:r w:rsidR="00143368">
        <w:t>EVs</w:t>
      </w:r>
      <w:r w:rsidRPr="00102605">
        <w:t xml:space="preserve"> have an expected lifespan of approximately 8 to 10 years, after which they must be replaced by new ones. The disposal of old batteries can generate environmental and health hazards. As expended lithium-ion batteries, due to their chemical contents, are harmful to humans and the environment, they need to be managed accordingly. </w:t>
      </w:r>
      <w:r w:rsidR="004F1664" w:rsidRPr="00102605">
        <w:t xml:space="preserve">The two environmentally sustainable alternatives of recycling and second life of out-of-Use EV </w:t>
      </w:r>
      <w:r w:rsidR="00102605" w:rsidRPr="00102605">
        <w:t>batteries</w:t>
      </w:r>
      <w:r w:rsidR="004F1664" w:rsidRPr="00102605">
        <w:t>, due to many shared supply chain elements, present technical, regulatory, and financial challenges.</w:t>
      </w:r>
    </w:p>
    <w:p w14:paraId="0F6BE43B" w14:textId="77777777" w:rsidR="004F1664" w:rsidRPr="00102605" w:rsidRDefault="004F1664" w:rsidP="00D07B6F">
      <w:pPr>
        <w:shd w:val="clear" w:color="auto" w:fill="FFFFFF" w:themeFill="background1"/>
        <w:spacing w:after="0" w:line="240" w:lineRule="auto"/>
      </w:pPr>
    </w:p>
    <w:p w14:paraId="711DDB76" w14:textId="1931A3F5" w:rsidR="004F1664" w:rsidRPr="00102605" w:rsidRDefault="004F1664" w:rsidP="00D07B6F">
      <w:pPr>
        <w:shd w:val="clear" w:color="auto" w:fill="FFFFFF" w:themeFill="background1"/>
        <w:spacing w:after="0" w:line="240" w:lineRule="auto"/>
      </w:pPr>
      <w:r w:rsidRPr="00102605">
        <w:t xml:space="preserve">Due to the implementation of activities that are part of the scope of the </w:t>
      </w:r>
      <w:r w:rsidR="00C221DA" w:rsidRPr="00102605">
        <w:t>Sub-Program</w:t>
      </w:r>
      <w:r w:rsidRPr="00102605">
        <w:t>, other less significant adverse impacts can potentially occur, which include: (</w:t>
      </w:r>
      <w:proofErr w:type="spellStart"/>
      <w:r w:rsidRPr="00102605">
        <w:t>i</w:t>
      </w:r>
      <w:proofErr w:type="spellEnd"/>
      <w:r w:rsidRPr="00102605">
        <w:t xml:space="preserve">) minor construction related impacts during the installation of </w:t>
      </w:r>
      <w:r w:rsidR="00245519" w:rsidRPr="00102605">
        <w:t xml:space="preserve">grid-connected </w:t>
      </w:r>
      <w:r w:rsidRPr="00102605">
        <w:t>charging stations (noise, dust, waste)</w:t>
      </w:r>
      <w:r w:rsidR="00181387" w:rsidRPr="00102605">
        <w:t xml:space="preserve">; (ii) </w:t>
      </w:r>
      <w:r w:rsidR="00661B28" w:rsidRPr="00102605">
        <w:t>soil and water contamination as a result of metal lixiviation and other sources from scrap from out-of-use vehicles (replaced vehicles) and other wastes, such as oils, lubricants, lead-acid batteries, tires, etc.</w:t>
      </w:r>
      <w:r w:rsidR="000C1CD9" w:rsidRPr="00102605">
        <w:t xml:space="preserve">; (iii) employment loss due to change in job dynamics (labour reconversion); (iv) </w:t>
      </w:r>
      <w:r w:rsidR="00A015DB" w:rsidRPr="00102605">
        <w:t xml:space="preserve">health and safety risks during charging and maintenance operations (v) decrease of road safety/increased accidentality (EV are less </w:t>
      </w:r>
      <w:r w:rsidR="00102605" w:rsidRPr="00102605">
        <w:t>noticeable</w:t>
      </w:r>
      <w:r w:rsidR="00A015DB" w:rsidRPr="00102605">
        <w:t>).</w:t>
      </w:r>
    </w:p>
    <w:p w14:paraId="28AC8CA6" w14:textId="7E9C7D90" w:rsidR="00A015DB" w:rsidRPr="00102605" w:rsidRDefault="00A015DB" w:rsidP="00D07B6F">
      <w:pPr>
        <w:shd w:val="clear" w:color="auto" w:fill="FFFFFF" w:themeFill="background1"/>
        <w:spacing w:after="0" w:line="240" w:lineRule="auto"/>
      </w:pPr>
    </w:p>
    <w:p w14:paraId="4E294832" w14:textId="27CAFCEE" w:rsidR="00A015DB" w:rsidRPr="00102605" w:rsidRDefault="00A015DB" w:rsidP="00D07B6F">
      <w:pPr>
        <w:shd w:val="clear" w:color="auto" w:fill="FFFFFF" w:themeFill="background1"/>
        <w:spacing w:after="0" w:line="240" w:lineRule="auto"/>
      </w:pPr>
      <w:r w:rsidRPr="00102605">
        <w:t xml:space="preserve">All </w:t>
      </w:r>
      <w:r w:rsidR="00183414" w:rsidRPr="00102605">
        <w:t>Sub-Program</w:t>
      </w:r>
      <w:r w:rsidRPr="00102605">
        <w:t xml:space="preserve"> interventions, at a country level, will be required to comply with CAF´s E&amp;S Safeguards as well as GCF´s </w:t>
      </w:r>
      <w:r w:rsidR="009501A0">
        <w:t xml:space="preserve">interim </w:t>
      </w:r>
      <w:r w:rsidR="0087571B">
        <w:t>environmental and social safeguards</w:t>
      </w:r>
      <w:r w:rsidR="005F6650">
        <w:t xml:space="preserve"> and performance standards</w:t>
      </w:r>
      <w:r w:rsidR="0087571B">
        <w:t xml:space="preserve">, </w:t>
      </w:r>
      <w:r w:rsidR="00DA3C1C">
        <w:t xml:space="preserve">the </w:t>
      </w:r>
      <w:r w:rsidR="0087571B">
        <w:t>revised environment</w:t>
      </w:r>
      <w:r w:rsidR="005F6650">
        <w:t xml:space="preserve">al and social policy, </w:t>
      </w:r>
      <w:r w:rsidR="00DA3C1C">
        <w:t xml:space="preserve">the indigenous </w:t>
      </w:r>
      <w:proofErr w:type="gramStart"/>
      <w:r w:rsidR="00DA3C1C">
        <w:t>peoples</w:t>
      </w:r>
      <w:proofErr w:type="gramEnd"/>
      <w:r w:rsidR="00DA3C1C">
        <w:t xml:space="preserve"> policy, and the gender policy</w:t>
      </w:r>
      <w:r w:rsidRPr="00102605">
        <w:t xml:space="preserve">. In this regard, all </w:t>
      </w:r>
      <w:r w:rsidR="00C524AB">
        <w:t>sub-</w:t>
      </w:r>
      <w:r w:rsidRPr="00102605">
        <w:t>projects will be</w:t>
      </w:r>
      <w:r w:rsidR="00AF2874">
        <w:t xml:space="preserve"> required to </w:t>
      </w:r>
      <w:r w:rsidR="004524F6">
        <w:t>prepare</w:t>
      </w:r>
      <w:r w:rsidR="00AF2874">
        <w:t xml:space="preserve"> an ESIA and ESMP for disclosure during implementation and will be</w:t>
      </w:r>
      <w:r w:rsidRPr="00102605">
        <w:t xml:space="preserve"> subject to an environmental and social due diligence following CAF´s internal policies and procedures</w:t>
      </w:r>
      <w:r w:rsidR="002860C5">
        <w:rPr>
          <w:rStyle w:val="Refdenotaalpie"/>
        </w:rPr>
        <w:footnoteReference w:id="3"/>
      </w:r>
      <w:r w:rsidRPr="00102605">
        <w:t>.</w:t>
      </w:r>
      <w:r w:rsidR="004524F6">
        <w:t xml:space="preserve"> </w:t>
      </w:r>
    </w:p>
    <w:p w14:paraId="478E166E" w14:textId="77777777" w:rsidR="00A015DB" w:rsidRPr="00102605" w:rsidRDefault="00A015DB" w:rsidP="00D07B6F">
      <w:pPr>
        <w:shd w:val="clear" w:color="auto" w:fill="FFFFFF" w:themeFill="background1"/>
        <w:spacing w:after="0" w:line="240" w:lineRule="auto"/>
      </w:pPr>
    </w:p>
    <w:p w14:paraId="20C39523" w14:textId="30FF44AA" w:rsidR="00A015DB" w:rsidRPr="00102605" w:rsidRDefault="00A015DB" w:rsidP="00D07B6F">
      <w:pPr>
        <w:shd w:val="clear" w:color="auto" w:fill="FFFFFF" w:themeFill="background1"/>
        <w:spacing w:after="0" w:line="240" w:lineRule="auto"/>
      </w:pPr>
      <w:r w:rsidRPr="00102605">
        <w:t>The goals of CAF’s environmental and social due diligence are to:</w:t>
      </w:r>
    </w:p>
    <w:p w14:paraId="4BFA0B45" w14:textId="77777777" w:rsidR="00A015DB" w:rsidRPr="00102605" w:rsidRDefault="00A015DB" w:rsidP="00D07B6F">
      <w:pPr>
        <w:shd w:val="clear" w:color="auto" w:fill="FFFFFF" w:themeFill="background1"/>
        <w:spacing w:after="0" w:line="240" w:lineRule="auto"/>
      </w:pPr>
    </w:p>
    <w:p w14:paraId="0A3D1392" w14:textId="1BB7547B" w:rsidR="00A015DB" w:rsidRPr="00102605" w:rsidRDefault="00A015DB" w:rsidP="00D07B6F">
      <w:pPr>
        <w:pStyle w:val="Prrafodelista"/>
        <w:numPr>
          <w:ilvl w:val="0"/>
          <w:numId w:val="34"/>
        </w:numPr>
        <w:shd w:val="clear" w:color="auto" w:fill="FFFFFF" w:themeFill="background1"/>
        <w:spacing w:after="0" w:line="240" w:lineRule="auto"/>
      </w:pPr>
      <w:r w:rsidRPr="00102605">
        <w:t xml:space="preserve">Assess the environmental and social risks and impacts of each </w:t>
      </w:r>
      <w:r w:rsidR="00C524AB">
        <w:t>sub-</w:t>
      </w:r>
      <w:r w:rsidR="00102605" w:rsidRPr="00102605">
        <w:t>project.</w:t>
      </w:r>
    </w:p>
    <w:p w14:paraId="64246FD3" w14:textId="37FD6A18" w:rsidR="00A015DB" w:rsidRPr="00102605" w:rsidRDefault="00A015DB" w:rsidP="00D07B6F">
      <w:pPr>
        <w:pStyle w:val="Prrafodelista"/>
        <w:numPr>
          <w:ilvl w:val="0"/>
          <w:numId w:val="34"/>
        </w:numPr>
        <w:shd w:val="clear" w:color="auto" w:fill="FFFFFF" w:themeFill="background1"/>
        <w:spacing w:after="0" w:line="240" w:lineRule="auto"/>
      </w:pPr>
      <w:r w:rsidRPr="00102605">
        <w:t xml:space="preserve">Propose appropriate measures to avoid, minimize, and/or offset these risks and their </w:t>
      </w:r>
      <w:r w:rsidR="00102605" w:rsidRPr="00102605">
        <w:t>impacts.</w:t>
      </w:r>
    </w:p>
    <w:p w14:paraId="3692FEBF" w14:textId="6B23125A" w:rsidR="00653DC8" w:rsidRPr="00102605" w:rsidRDefault="00653DC8" w:rsidP="00D07B6F">
      <w:pPr>
        <w:pStyle w:val="Prrafodelista"/>
        <w:numPr>
          <w:ilvl w:val="0"/>
          <w:numId w:val="34"/>
        </w:numPr>
        <w:shd w:val="clear" w:color="auto" w:fill="FFFFFF" w:themeFill="background1"/>
        <w:spacing w:after="0" w:line="240" w:lineRule="auto"/>
      </w:pPr>
      <w:r>
        <w:t>C</w:t>
      </w:r>
      <w:r w:rsidRPr="00653DC8">
        <w:t>onfirm the aptitude of the environmental and social management frameworks of implementing partners, that in the case of Local Financial Institutions involves having in place a fully operational environmental and social risk assessment systems (ESRAS) or environmental and social management systems (ESMS)</w:t>
      </w:r>
      <w:r>
        <w:t>.</w:t>
      </w:r>
    </w:p>
    <w:p w14:paraId="548A0588" w14:textId="028177CD" w:rsidR="00A015DB" w:rsidRPr="00102605" w:rsidRDefault="00A015DB" w:rsidP="00D07B6F">
      <w:pPr>
        <w:pStyle w:val="Prrafodelista"/>
        <w:numPr>
          <w:ilvl w:val="0"/>
          <w:numId w:val="34"/>
        </w:numPr>
        <w:shd w:val="clear" w:color="auto" w:fill="FFFFFF" w:themeFill="background1"/>
        <w:spacing w:after="0" w:line="240" w:lineRule="auto"/>
      </w:pPr>
      <w:r w:rsidRPr="00102605">
        <w:t xml:space="preserve">Monitor the implementation execution of these measures during the implementation phase for the </w:t>
      </w:r>
      <w:r w:rsidR="00102605" w:rsidRPr="00102605">
        <w:t>operation.</w:t>
      </w:r>
    </w:p>
    <w:p w14:paraId="15A37A58" w14:textId="77777777" w:rsidR="00F97CA2" w:rsidRPr="00102605" w:rsidRDefault="00F97CA2" w:rsidP="00D07B6F">
      <w:pPr>
        <w:spacing w:after="0" w:line="240" w:lineRule="auto"/>
      </w:pPr>
    </w:p>
    <w:p w14:paraId="4533148B" w14:textId="13B4AED2" w:rsidR="008C795D" w:rsidRPr="00102605" w:rsidRDefault="008C795D" w:rsidP="00D07B6F">
      <w:pPr>
        <w:spacing w:after="0" w:line="240" w:lineRule="auto"/>
      </w:pPr>
      <w:r w:rsidRPr="00102605">
        <w:t>CAF´s social and environmental safeguards are the following:</w:t>
      </w:r>
    </w:p>
    <w:p w14:paraId="53A7F435" w14:textId="3AA1C86E" w:rsidR="008C795D" w:rsidRPr="00102605" w:rsidRDefault="008C795D" w:rsidP="00D07B6F">
      <w:pPr>
        <w:pStyle w:val="Prrafodelista"/>
        <w:numPr>
          <w:ilvl w:val="0"/>
          <w:numId w:val="24"/>
        </w:numPr>
        <w:spacing w:after="0" w:line="240" w:lineRule="auto"/>
      </w:pPr>
      <w:r w:rsidRPr="00102605">
        <w:t>S01: Evaluation and management of environmental and social impacts</w:t>
      </w:r>
    </w:p>
    <w:p w14:paraId="6D507BAE" w14:textId="2C64F9E2" w:rsidR="008C795D" w:rsidRPr="00102605" w:rsidRDefault="008C795D" w:rsidP="00D07B6F">
      <w:pPr>
        <w:pStyle w:val="Prrafodelista"/>
        <w:numPr>
          <w:ilvl w:val="0"/>
          <w:numId w:val="24"/>
        </w:numPr>
        <w:spacing w:after="0" w:line="240" w:lineRule="auto"/>
      </w:pPr>
      <w:r w:rsidRPr="00102605">
        <w:t>S02: Utilization of renewable natural resources</w:t>
      </w:r>
    </w:p>
    <w:p w14:paraId="43A5A7AA" w14:textId="36C31E06" w:rsidR="008C795D" w:rsidRPr="00102605" w:rsidRDefault="008C795D" w:rsidP="00D07B6F">
      <w:pPr>
        <w:pStyle w:val="Prrafodelista"/>
        <w:numPr>
          <w:ilvl w:val="0"/>
          <w:numId w:val="24"/>
        </w:numPr>
        <w:spacing w:after="0" w:line="240" w:lineRule="auto"/>
      </w:pPr>
      <w:r w:rsidRPr="00102605">
        <w:t>S03: Conservation of biological diversity</w:t>
      </w:r>
    </w:p>
    <w:p w14:paraId="451DFC80" w14:textId="50950565" w:rsidR="008C795D" w:rsidRPr="00102605" w:rsidRDefault="008C795D" w:rsidP="00D07B6F">
      <w:pPr>
        <w:pStyle w:val="Prrafodelista"/>
        <w:numPr>
          <w:ilvl w:val="0"/>
          <w:numId w:val="24"/>
        </w:numPr>
        <w:spacing w:after="0" w:line="240" w:lineRule="auto"/>
      </w:pPr>
      <w:r w:rsidRPr="00102605">
        <w:t>S04: Pollution prevention and management</w:t>
      </w:r>
    </w:p>
    <w:p w14:paraId="2A6C88E0" w14:textId="4E36C4D5" w:rsidR="008C795D" w:rsidRPr="00102605" w:rsidRDefault="008C795D" w:rsidP="00D07B6F">
      <w:pPr>
        <w:pStyle w:val="Prrafodelista"/>
        <w:numPr>
          <w:ilvl w:val="0"/>
          <w:numId w:val="24"/>
        </w:numPr>
        <w:spacing w:after="0" w:line="240" w:lineRule="auto"/>
      </w:pPr>
      <w:r w:rsidRPr="00102605">
        <w:t>S05: Cultural Heritage</w:t>
      </w:r>
    </w:p>
    <w:p w14:paraId="20CBD311" w14:textId="35F11E88" w:rsidR="008C795D" w:rsidRPr="00102605" w:rsidRDefault="008C795D" w:rsidP="00D07B6F">
      <w:pPr>
        <w:pStyle w:val="Prrafodelista"/>
        <w:numPr>
          <w:ilvl w:val="0"/>
          <w:numId w:val="24"/>
        </w:numPr>
        <w:spacing w:after="0" w:line="240" w:lineRule="auto"/>
      </w:pPr>
      <w:r w:rsidRPr="00102605">
        <w:t>S06: Ethnic Groups</w:t>
      </w:r>
    </w:p>
    <w:p w14:paraId="466CF6E9" w14:textId="07214117" w:rsidR="008C795D" w:rsidRPr="00102605" w:rsidRDefault="008C795D" w:rsidP="00D07B6F">
      <w:pPr>
        <w:pStyle w:val="Prrafodelista"/>
        <w:numPr>
          <w:ilvl w:val="0"/>
          <w:numId w:val="24"/>
        </w:numPr>
        <w:spacing w:after="0" w:line="240" w:lineRule="auto"/>
      </w:pPr>
      <w:r w:rsidRPr="00102605">
        <w:t>S07: Resettlement</w:t>
      </w:r>
    </w:p>
    <w:p w14:paraId="5D492A46" w14:textId="29F06F9C" w:rsidR="008C795D" w:rsidRPr="00102605" w:rsidRDefault="008C795D" w:rsidP="00D07B6F">
      <w:pPr>
        <w:pStyle w:val="Prrafodelista"/>
        <w:numPr>
          <w:ilvl w:val="0"/>
          <w:numId w:val="24"/>
        </w:numPr>
        <w:spacing w:after="0" w:line="240" w:lineRule="auto"/>
      </w:pPr>
      <w:r w:rsidRPr="00102605">
        <w:t>S08: Working Conditions and Training</w:t>
      </w:r>
    </w:p>
    <w:p w14:paraId="67525FCB" w14:textId="19DE3760" w:rsidR="008C795D" w:rsidRPr="00102605" w:rsidRDefault="008C795D" w:rsidP="00D07B6F">
      <w:pPr>
        <w:pStyle w:val="Prrafodelista"/>
        <w:numPr>
          <w:ilvl w:val="0"/>
          <w:numId w:val="24"/>
        </w:numPr>
        <w:spacing w:after="0" w:line="240" w:lineRule="auto"/>
      </w:pPr>
      <w:r w:rsidRPr="00102605">
        <w:t>S09: Gender Equity</w:t>
      </w:r>
    </w:p>
    <w:p w14:paraId="53F410B4" w14:textId="77777777" w:rsidR="00621E65" w:rsidRDefault="00621E65" w:rsidP="00D07B6F">
      <w:pPr>
        <w:spacing w:after="0" w:line="240" w:lineRule="auto"/>
      </w:pPr>
    </w:p>
    <w:p w14:paraId="4988ACB9" w14:textId="7FD665E5" w:rsidR="002203DA" w:rsidRDefault="002203DA" w:rsidP="00D07B6F">
      <w:pPr>
        <w:spacing w:after="0" w:line="240" w:lineRule="auto"/>
      </w:pPr>
      <w:r w:rsidRPr="00102605">
        <w:t xml:space="preserve">The GCF has provisionally adopted the IFC Performance Standards of the International Financial Corporation (IFC). IFC Performance Standards are comprised of 8 standards that cover the main environmental and social considerations that must be safeguarded when designing and implementing a project or </w:t>
      </w:r>
      <w:r w:rsidR="00DD7442" w:rsidRPr="00102605">
        <w:t>program</w:t>
      </w:r>
      <w:r w:rsidRPr="00102605">
        <w:t>. During CAF accreditation to the GCF, CAF´s environmental and social safeguards were re-viewed by the GCF and it was confirmed that they are fully aligned with the ESS of the GCF.</w:t>
      </w:r>
    </w:p>
    <w:p w14:paraId="5F1007F9" w14:textId="77777777" w:rsidR="00D07B6F" w:rsidRPr="00102605" w:rsidRDefault="00D07B6F" w:rsidP="00D07B6F">
      <w:pPr>
        <w:spacing w:after="0" w:line="240" w:lineRule="auto"/>
      </w:pPr>
    </w:p>
    <w:p w14:paraId="36B2C345" w14:textId="4A9486FD" w:rsidR="00961383" w:rsidRPr="00102605" w:rsidRDefault="00A015DB" w:rsidP="00D07B6F">
      <w:pPr>
        <w:spacing w:after="0" w:line="240" w:lineRule="auto"/>
        <w:rPr>
          <w:color w:val="000000" w:themeColor="text1"/>
          <w:lang w:eastAsia="ja-JP"/>
        </w:rPr>
      </w:pPr>
      <w:r w:rsidRPr="00102605">
        <w:rPr>
          <w:color w:val="000000" w:themeColor="text1"/>
          <w:lang w:eastAsia="ja-JP"/>
        </w:rPr>
        <w:t xml:space="preserve">The </w:t>
      </w:r>
      <w:r w:rsidR="007108A7" w:rsidRPr="00102605">
        <w:rPr>
          <w:color w:val="000000" w:themeColor="text1"/>
          <w:lang w:eastAsia="ja-JP"/>
        </w:rPr>
        <w:t xml:space="preserve">accelerated uptake of commercial </w:t>
      </w:r>
      <w:r w:rsidR="00143368">
        <w:rPr>
          <w:color w:val="000000" w:themeColor="text1"/>
          <w:lang w:eastAsia="ja-JP"/>
        </w:rPr>
        <w:t>EVs</w:t>
      </w:r>
      <w:r w:rsidR="007108A7" w:rsidRPr="00102605">
        <w:rPr>
          <w:color w:val="000000" w:themeColor="text1"/>
          <w:lang w:eastAsia="ja-JP"/>
        </w:rPr>
        <w:t xml:space="preserve"> and electric public transport thanks to an improved ecosystem for </w:t>
      </w:r>
      <w:r w:rsidR="00143368">
        <w:rPr>
          <w:color w:val="000000" w:themeColor="text1"/>
          <w:lang w:eastAsia="ja-JP"/>
        </w:rPr>
        <w:t>EVs</w:t>
      </w:r>
      <w:r w:rsidR="007108A7" w:rsidRPr="00102605">
        <w:rPr>
          <w:color w:val="000000" w:themeColor="text1"/>
          <w:lang w:eastAsia="ja-JP"/>
        </w:rPr>
        <w:t xml:space="preserve"> with (</w:t>
      </w:r>
      <w:proofErr w:type="spellStart"/>
      <w:r w:rsidR="007108A7" w:rsidRPr="00102605">
        <w:rPr>
          <w:color w:val="000000" w:themeColor="text1"/>
          <w:lang w:eastAsia="ja-JP"/>
        </w:rPr>
        <w:t>i</w:t>
      </w:r>
      <w:proofErr w:type="spellEnd"/>
      <w:r w:rsidR="007108A7" w:rsidRPr="00102605">
        <w:rPr>
          <w:color w:val="000000" w:themeColor="text1"/>
          <w:lang w:eastAsia="ja-JP"/>
        </w:rPr>
        <w:t>) financial assistance (FA) made available for EV investments as well as (ii) a</w:t>
      </w:r>
      <w:r w:rsidR="00922250" w:rsidRPr="00102605">
        <w:rPr>
          <w:color w:val="000000" w:themeColor="text1"/>
          <w:lang w:eastAsia="ja-JP"/>
        </w:rPr>
        <w:t>n</w:t>
      </w:r>
      <w:r w:rsidR="007108A7" w:rsidRPr="00102605">
        <w:rPr>
          <w:color w:val="000000" w:themeColor="text1"/>
          <w:lang w:eastAsia="ja-JP"/>
        </w:rPr>
        <w:t xml:space="preserve"> </w:t>
      </w:r>
      <w:r w:rsidR="00922250" w:rsidRPr="00102605">
        <w:rPr>
          <w:color w:val="000000" w:themeColor="text1"/>
          <w:lang w:eastAsia="ja-JP"/>
        </w:rPr>
        <w:t>ad</w:t>
      </w:r>
      <w:r w:rsidR="007108A7" w:rsidRPr="00102605">
        <w:rPr>
          <w:color w:val="000000" w:themeColor="text1"/>
          <w:lang w:eastAsia="ja-JP"/>
        </w:rPr>
        <w:t>equate technical assistance (TA) on each pre-identified scalable EV segment in each country.</w:t>
      </w:r>
      <w:r w:rsidR="00961383" w:rsidRPr="00102605">
        <w:rPr>
          <w:color w:val="000000" w:themeColor="text1"/>
          <w:lang w:eastAsia="ja-JP"/>
        </w:rPr>
        <w:t xml:space="preserve"> </w:t>
      </w:r>
      <w:r w:rsidR="001812D6" w:rsidRPr="00102605">
        <w:rPr>
          <w:color w:val="000000" w:themeColor="text1"/>
          <w:lang w:eastAsia="ja-JP"/>
        </w:rPr>
        <w:t>As a result, th</w:t>
      </w:r>
      <w:r w:rsidR="00961383" w:rsidRPr="00102605">
        <w:rPr>
          <w:color w:val="000000" w:themeColor="text1"/>
          <w:lang w:eastAsia="ja-JP"/>
        </w:rPr>
        <w:t>e following impacts shall be achieved:</w:t>
      </w:r>
    </w:p>
    <w:p w14:paraId="4EA384AC" w14:textId="77777777" w:rsidR="00A015DB" w:rsidRPr="00102605" w:rsidRDefault="00A015DB" w:rsidP="00D07B6F">
      <w:pPr>
        <w:spacing w:after="0" w:line="240" w:lineRule="auto"/>
        <w:rPr>
          <w:color w:val="000000" w:themeColor="text1"/>
          <w:lang w:eastAsia="ja-JP"/>
        </w:rPr>
      </w:pPr>
    </w:p>
    <w:p w14:paraId="02FA01C4" w14:textId="3F0B6F5A" w:rsidR="00961383" w:rsidRPr="00102605" w:rsidRDefault="00961383" w:rsidP="00A0575B">
      <w:pPr>
        <w:pStyle w:val="Prrafodelista"/>
        <w:numPr>
          <w:ilvl w:val="0"/>
          <w:numId w:val="56"/>
        </w:numPr>
        <w:spacing w:after="0" w:line="240" w:lineRule="auto"/>
        <w:ind w:left="426" w:hanging="426"/>
        <w:rPr>
          <w:color w:val="000000" w:themeColor="text1"/>
          <w:lang w:eastAsia="ja-JP"/>
        </w:rPr>
      </w:pPr>
      <w:r w:rsidRPr="00102605">
        <w:rPr>
          <w:color w:val="000000" w:themeColor="text1"/>
          <w:lang w:eastAsia="ja-JP"/>
        </w:rPr>
        <w:t xml:space="preserve">Reduction of Greenhouse Gases (GHG): </w:t>
      </w:r>
      <w:r w:rsidR="00143368">
        <w:rPr>
          <w:color w:val="000000" w:themeColor="text1"/>
          <w:lang w:eastAsia="ja-JP"/>
        </w:rPr>
        <w:t>EVs</w:t>
      </w:r>
      <w:r w:rsidRPr="00102605">
        <w:rPr>
          <w:color w:val="000000" w:themeColor="text1"/>
          <w:lang w:eastAsia="ja-JP"/>
        </w:rPr>
        <w:t xml:space="preserve"> in all countries included in the </w:t>
      </w:r>
      <w:r w:rsidR="00183414" w:rsidRPr="00102605">
        <w:rPr>
          <w:color w:val="000000" w:themeColor="text1"/>
          <w:lang w:eastAsia="ja-JP"/>
        </w:rPr>
        <w:t>Sub-Program</w:t>
      </w:r>
      <w:r w:rsidRPr="00102605">
        <w:rPr>
          <w:color w:val="000000" w:themeColor="text1"/>
          <w:lang w:eastAsia="ja-JP"/>
        </w:rPr>
        <w:t xml:space="preserve"> have significantly lower lifecycle GHG emissions than </w:t>
      </w:r>
      <w:r w:rsidR="008004E0" w:rsidRPr="00102605">
        <w:rPr>
          <w:color w:val="000000" w:themeColor="text1"/>
          <w:lang w:eastAsia="ja-JP"/>
        </w:rPr>
        <w:t>fossil-</w:t>
      </w:r>
      <w:r w:rsidR="00102605" w:rsidRPr="00102605">
        <w:rPr>
          <w:color w:val="000000" w:themeColor="text1"/>
          <w:lang w:eastAsia="ja-JP"/>
        </w:rPr>
        <w:t>fuelled</w:t>
      </w:r>
      <w:r w:rsidR="008004E0" w:rsidRPr="00102605">
        <w:rPr>
          <w:color w:val="000000" w:themeColor="text1"/>
          <w:lang w:eastAsia="ja-JP"/>
        </w:rPr>
        <w:t xml:space="preserve"> vehicles</w:t>
      </w:r>
      <w:r w:rsidRPr="00102605">
        <w:rPr>
          <w:color w:val="000000" w:themeColor="text1"/>
          <w:lang w:eastAsia="ja-JP"/>
        </w:rPr>
        <w:t>.</w:t>
      </w:r>
    </w:p>
    <w:p w14:paraId="4C226B8F" w14:textId="1E3E6020" w:rsidR="00961383" w:rsidRPr="00102605" w:rsidRDefault="00961383" w:rsidP="00A0575B">
      <w:pPr>
        <w:pStyle w:val="Prrafodelista"/>
        <w:numPr>
          <w:ilvl w:val="0"/>
          <w:numId w:val="56"/>
        </w:numPr>
        <w:spacing w:after="0" w:line="240" w:lineRule="auto"/>
        <w:ind w:left="426" w:hanging="426"/>
        <w:rPr>
          <w:color w:val="000000" w:themeColor="text1"/>
          <w:lang w:eastAsia="ja-JP"/>
        </w:rPr>
      </w:pPr>
      <w:r w:rsidRPr="00102605">
        <w:rPr>
          <w:color w:val="000000" w:themeColor="text1"/>
          <w:lang w:eastAsia="ja-JP"/>
        </w:rPr>
        <w:t xml:space="preserve">Improved air quality: </w:t>
      </w:r>
      <w:r w:rsidR="00143368">
        <w:rPr>
          <w:color w:val="000000" w:themeColor="text1"/>
          <w:lang w:eastAsia="ja-JP"/>
        </w:rPr>
        <w:t>EVs</w:t>
      </w:r>
      <w:r w:rsidRPr="00102605">
        <w:rPr>
          <w:color w:val="000000" w:themeColor="text1"/>
          <w:lang w:eastAsia="ja-JP"/>
        </w:rPr>
        <w:t xml:space="preserve"> have no combustion emissions and are a crucial instrument to achieve clean air in cities. Commercial vehicles are a major source of PM</w:t>
      </w:r>
      <w:r w:rsidRPr="00102605">
        <w:rPr>
          <w:color w:val="000000" w:themeColor="text1"/>
          <w:vertAlign w:val="subscript"/>
          <w:lang w:eastAsia="ja-JP"/>
        </w:rPr>
        <w:t>2.5</w:t>
      </w:r>
      <w:r w:rsidRPr="00102605">
        <w:rPr>
          <w:color w:val="000000" w:themeColor="text1"/>
          <w:lang w:eastAsia="ja-JP"/>
        </w:rPr>
        <w:t xml:space="preserve"> and NO</w:t>
      </w:r>
      <w:r w:rsidRPr="00102605">
        <w:rPr>
          <w:color w:val="000000" w:themeColor="text1"/>
          <w:vertAlign w:val="subscript"/>
          <w:lang w:eastAsia="ja-JP"/>
        </w:rPr>
        <w:t>x</w:t>
      </w:r>
      <w:r w:rsidRPr="00102605">
        <w:rPr>
          <w:color w:val="000000" w:themeColor="text1"/>
          <w:lang w:eastAsia="ja-JP"/>
        </w:rPr>
        <w:t xml:space="preserve"> emissions in cities. Replacing fossil, diesel powered commercial vehicles with </w:t>
      </w:r>
      <w:r w:rsidR="00143368">
        <w:rPr>
          <w:color w:val="000000" w:themeColor="text1"/>
          <w:lang w:eastAsia="ja-JP"/>
        </w:rPr>
        <w:t>EVs</w:t>
      </w:r>
      <w:r w:rsidRPr="00102605">
        <w:rPr>
          <w:color w:val="000000" w:themeColor="text1"/>
          <w:lang w:eastAsia="ja-JP"/>
        </w:rPr>
        <w:t xml:space="preserve"> improves air quality significantly.</w:t>
      </w:r>
    </w:p>
    <w:p w14:paraId="5F851EFF" w14:textId="59FA6DDC" w:rsidR="00961383" w:rsidRPr="00102605" w:rsidRDefault="00961383" w:rsidP="00A0575B">
      <w:pPr>
        <w:pStyle w:val="Prrafodelista"/>
        <w:numPr>
          <w:ilvl w:val="0"/>
          <w:numId w:val="56"/>
        </w:numPr>
        <w:spacing w:after="0" w:line="240" w:lineRule="auto"/>
        <w:ind w:left="426" w:hanging="426"/>
        <w:rPr>
          <w:color w:val="000000" w:themeColor="text1"/>
          <w:lang w:eastAsia="ja-JP"/>
        </w:rPr>
      </w:pPr>
      <w:r w:rsidRPr="00102605">
        <w:rPr>
          <w:color w:val="000000" w:themeColor="text1"/>
          <w:lang w:eastAsia="ja-JP"/>
        </w:rPr>
        <w:t xml:space="preserve">Reduced energy dependency: </w:t>
      </w:r>
      <w:r w:rsidR="00143368">
        <w:rPr>
          <w:color w:val="000000" w:themeColor="text1"/>
          <w:lang w:eastAsia="ja-JP"/>
        </w:rPr>
        <w:t>EVs</w:t>
      </w:r>
      <w:r w:rsidRPr="00102605">
        <w:rPr>
          <w:color w:val="000000" w:themeColor="text1"/>
          <w:lang w:eastAsia="ja-JP"/>
        </w:rPr>
        <w:t xml:space="preserve"> use domestic resources and reduce reliance on imported fossil fuels. They thereby also increase the resilience of the country’s economy to external oil price shocks.</w:t>
      </w:r>
    </w:p>
    <w:p w14:paraId="11030983" w14:textId="775580A3" w:rsidR="00961383" w:rsidRPr="00102605" w:rsidRDefault="00961383" w:rsidP="00A0575B">
      <w:pPr>
        <w:pStyle w:val="Prrafodelista"/>
        <w:numPr>
          <w:ilvl w:val="0"/>
          <w:numId w:val="56"/>
        </w:numPr>
        <w:spacing w:after="0" w:line="240" w:lineRule="auto"/>
        <w:ind w:left="426" w:hanging="426"/>
        <w:rPr>
          <w:color w:val="000000" w:themeColor="text1"/>
          <w:lang w:eastAsia="ja-JP"/>
        </w:rPr>
      </w:pPr>
      <w:r w:rsidRPr="00102605">
        <w:rPr>
          <w:color w:val="000000" w:themeColor="text1"/>
          <w:lang w:eastAsia="ja-JP"/>
        </w:rPr>
        <w:t xml:space="preserve">Increased energy efficiency: </w:t>
      </w:r>
      <w:r w:rsidR="00143368">
        <w:rPr>
          <w:color w:val="000000" w:themeColor="text1"/>
          <w:lang w:eastAsia="ja-JP"/>
        </w:rPr>
        <w:t>EVs</w:t>
      </w:r>
      <w:r w:rsidRPr="00102605">
        <w:rPr>
          <w:color w:val="000000" w:themeColor="text1"/>
          <w:lang w:eastAsia="ja-JP"/>
        </w:rPr>
        <w:t xml:space="preserve"> are up to 4 times more energy efficient than </w:t>
      </w:r>
      <w:r w:rsidR="008004E0" w:rsidRPr="00102605">
        <w:rPr>
          <w:color w:val="000000" w:themeColor="text1"/>
          <w:lang w:eastAsia="ja-JP"/>
        </w:rPr>
        <w:t>fossil-</w:t>
      </w:r>
      <w:r w:rsidR="00102605" w:rsidRPr="00102605">
        <w:rPr>
          <w:color w:val="000000" w:themeColor="text1"/>
          <w:lang w:eastAsia="ja-JP"/>
        </w:rPr>
        <w:t>fuelled</w:t>
      </w:r>
      <w:r w:rsidR="008004E0" w:rsidRPr="00102605">
        <w:rPr>
          <w:color w:val="000000" w:themeColor="text1"/>
          <w:lang w:eastAsia="ja-JP"/>
        </w:rPr>
        <w:t xml:space="preserve"> vehicles</w:t>
      </w:r>
      <w:r w:rsidRPr="00102605">
        <w:rPr>
          <w:color w:val="000000" w:themeColor="text1"/>
          <w:lang w:eastAsia="ja-JP"/>
        </w:rPr>
        <w:t>. Electricity consumption, even if pursuing an ambitious EV penetration level such as proposed by the EV30@30 target supported by the International Energy Agency, is marginal compared to national production levels – however, localized grid problems need to be addressed.</w:t>
      </w:r>
    </w:p>
    <w:p w14:paraId="3C909725" w14:textId="4068D29F" w:rsidR="00961383" w:rsidRPr="00102605" w:rsidRDefault="00961383" w:rsidP="00D07B6F">
      <w:pPr>
        <w:spacing w:after="0" w:line="240" w:lineRule="auto"/>
      </w:pPr>
    </w:p>
    <w:p w14:paraId="3A1EF3A7" w14:textId="53C0A065" w:rsidR="00417B8B" w:rsidRPr="00102605" w:rsidRDefault="00680396" w:rsidP="00D07B6F">
      <w:pPr>
        <w:pStyle w:val="Ttulo1"/>
        <w:numPr>
          <w:ilvl w:val="0"/>
          <w:numId w:val="1"/>
        </w:numPr>
        <w:spacing w:before="0" w:after="0" w:line="240" w:lineRule="auto"/>
      </w:pPr>
      <w:bookmarkStart w:id="1" w:name="_Toc114152200"/>
      <w:r w:rsidRPr="00102605">
        <w:t>Objectives of the ESA and ESMF</w:t>
      </w:r>
      <w:bookmarkEnd w:id="1"/>
    </w:p>
    <w:p w14:paraId="25053FF7" w14:textId="77777777" w:rsidR="00D07B6F" w:rsidRDefault="00D07B6F" w:rsidP="00D07B6F">
      <w:pPr>
        <w:spacing w:after="0" w:line="240" w:lineRule="auto"/>
      </w:pPr>
    </w:p>
    <w:p w14:paraId="0A58589C" w14:textId="1D440AE6" w:rsidR="00686DB9" w:rsidRDefault="00686DB9" w:rsidP="00D07B6F">
      <w:pPr>
        <w:spacing w:after="0" w:line="240" w:lineRule="auto"/>
      </w:pPr>
      <w:r w:rsidRPr="00102605">
        <w:t xml:space="preserve">This ESA and ESMF present the general context of the </w:t>
      </w:r>
      <w:r w:rsidR="003A5C58" w:rsidRPr="00102605">
        <w:t>Sub-</w:t>
      </w:r>
      <w:r w:rsidRPr="00102605">
        <w:t>Program</w:t>
      </w:r>
      <w:r w:rsidR="003A5C58" w:rsidRPr="00102605">
        <w:t xml:space="preserve"> 2 of E</w:t>
      </w:r>
      <w:r w:rsidR="00A05985">
        <w:t>-</w:t>
      </w:r>
      <w:r w:rsidR="003A5C58" w:rsidRPr="00102605">
        <w:t>Motion</w:t>
      </w:r>
      <w:r w:rsidRPr="00102605">
        <w:t>, its expected impacts and risks, the strategy for required mitigation measures as well as the capacity, roles and responsibilities, appraisal, and supervision processes.</w:t>
      </w:r>
    </w:p>
    <w:p w14:paraId="53F1BB3F" w14:textId="77777777" w:rsidR="00D07B6F" w:rsidRPr="00102605" w:rsidRDefault="00D07B6F" w:rsidP="00D07B6F">
      <w:pPr>
        <w:spacing w:after="0" w:line="240" w:lineRule="auto"/>
      </w:pPr>
    </w:p>
    <w:p w14:paraId="7A4C0E78" w14:textId="7BA93CB8" w:rsidR="00686DB9" w:rsidRDefault="00686DB9" w:rsidP="00D07B6F">
      <w:pPr>
        <w:spacing w:after="0" w:line="240" w:lineRule="auto"/>
      </w:pPr>
      <w:r w:rsidRPr="00102605">
        <w:t xml:space="preserve">The ESA presents broad description and overview of the environmental and social contexts relevant to the </w:t>
      </w:r>
      <w:r w:rsidR="003A5C58" w:rsidRPr="00102605">
        <w:t>Sub-</w:t>
      </w:r>
      <w:r w:rsidRPr="00102605">
        <w:t xml:space="preserve">Program </w:t>
      </w:r>
      <w:r w:rsidR="003A5C58" w:rsidRPr="00102605">
        <w:t xml:space="preserve">2 </w:t>
      </w:r>
      <w:r w:rsidRPr="00102605">
        <w:t xml:space="preserve">and the likely environmental and social risks and impacts as well as E&amp;S national policies and institutional arrangements. It also identifies current national regulations and policies in the electromobility sector and provides an overview of the environmental and social context for the selected sectors. </w:t>
      </w:r>
    </w:p>
    <w:p w14:paraId="268B6112" w14:textId="77777777" w:rsidR="00D07B6F" w:rsidRPr="00102605" w:rsidRDefault="00D07B6F" w:rsidP="00D07B6F">
      <w:pPr>
        <w:spacing w:after="0" w:line="240" w:lineRule="auto"/>
      </w:pPr>
    </w:p>
    <w:p w14:paraId="52D3FB77" w14:textId="5FAE9197" w:rsidR="00686DB9" w:rsidRDefault="00686DB9" w:rsidP="002E4661">
      <w:pPr>
        <w:spacing w:after="0" w:line="240" w:lineRule="auto"/>
      </w:pPr>
      <w:r w:rsidRPr="00102605">
        <w:t xml:space="preserve">The ESMF, on the other hand, describes how </w:t>
      </w:r>
      <w:r w:rsidR="00DB0127" w:rsidRPr="00102605">
        <w:t>CAF</w:t>
      </w:r>
      <w:r w:rsidRPr="00102605">
        <w:t xml:space="preserve"> will manage and supervise the environmental and social impacts and risks of the </w:t>
      </w:r>
      <w:r w:rsidR="00DB0127" w:rsidRPr="00102605">
        <w:t>Sub-</w:t>
      </w:r>
      <w:r w:rsidRPr="00102605">
        <w:t>Program</w:t>
      </w:r>
      <w:r w:rsidR="00DB0127" w:rsidRPr="00102605">
        <w:t xml:space="preserve"> 2</w:t>
      </w:r>
      <w:r w:rsidRPr="00102605">
        <w:t xml:space="preserve">, when funding from GCF is delivered to the </w:t>
      </w:r>
      <w:r w:rsidR="00183414" w:rsidRPr="00102605">
        <w:t>Sub-Program</w:t>
      </w:r>
      <w:r w:rsidR="00DB0127" w:rsidRPr="00102605">
        <w:t>’s</w:t>
      </w:r>
      <w:r w:rsidRPr="00102605">
        <w:t xml:space="preserve"> sub-projects. The ESMF presents the general context of the </w:t>
      </w:r>
      <w:r w:rsidR="00F233F1" w:rsidRPr="00102605">
        <w:t>p</w:t>
      </w:r>
      <w:r w:rsidRPr="00102605">
        <w:t xml:space="preserve">rogram, the process for evaluating </w:t>
      </w:r>
      <w:r w:rsidR="003F54C7">
        <w:t>Implementing</w:t>
      </w:r>
      <w:r w:rsidRPr="00102605">
        <w:t xml:space="preserve"> Entities</w:t>
      </w:r>
      <w:r w:rsidR="00E539B8" w:rsidRPr="00102605">
        <w:t>’</w:t>
      </w:r>
      <w:r w:rsidRPr="00102605">
        <w:t xml:space="preserve"> capacity to manage E&amp;S risks with an appropriately designed ES</w:t>
      </w:r>
      <w:r w:rsidR="00F233F1" w:rsidRPr="00102605">
        <w:t>M</w:t>
      </w:r>
      <w:r w:rsidR="00792CCA">
        <w:t>P</w:t>
      </w:r>
      <w:r w:rsidRPr="00102605">
        <w:t>, the minimum requirements for the ES</w:t>
      </w:r>
      <w:r w:rsidR="00F233F1" w:rsidRPr="00102605">
        <w:t>M</w:t>
      </w:r>
      <w:r w:rsidR="00535B84">
        <w:t>P</w:t>
      </w:r>
      <w:r w:rsidRPr="00102605">
        <w:t xml:space="preserve">, the </w:t>
      </w:r>
      <w:r w:rsidR="006B5B90">
        <w:t>resources</w:t>
      </w:r>
      <w:r w:rsidRPr="00102605">
        <w:t xml:space="preserve"> </w:t>
      </w:r>
      <w:r w:rsidR="009637EF">
        <w:t>need</w:t>
      </w:r>
      <w:r w:rsidR="003433AC">
        <w:t>ed</w:t>
      </w:r>
      <w:r w:rsidR="009637EF">
        <w:t xml:space="preserve"> </w:t>
      </w:r>
      <w:r w:rsidRPr="00102605">
        <w:t>to enhance E&amp;S management where</w:t>
      </w:r>
      <w:r w:rsidR="002E4661">
        <w:t xml:space="preserve"> </w:t>
      </w:r>
      <w:r w:rsidRPr="00102605">
        <w:t xml:space="preserve">necessary, and the monitoring process. </w:t>
      </w:r>
    </w:p>
    <w:p w14:paraId="45D4F416" w14:textId="77777777" w:rsidR="00D07B6F" w:rsidRPr="00102605" w:rsidRDefault="00D07B6F" w:rsidP="00D07B6F">
      <w:pPr>
        <w:spacing w:after="0" w:line="240" w:lineRule="auto"/>
      </w:pPr>
    </w:p>
    <w:p w14:paraId="2962F766" w14:textId="15A4C018" w:rsidR="00686DB9" w:rsidRDefault="00686DB9" w:rsidP="00D07B6F">
      <w:pPr>
        <w:spacing w:after="0" w:line="240" w:lineRule="auto"/>
      </w:pPr>
      <w:r w:rsidRPr="00102605">
        <w:t xml:space="preserve">The ESMF follows the requirements and E&amp;S </w:t>
      </w:r>
      <w:r w:rsidR="00E539B8" w:rsidRPr="00102605">
        <w:t>requirements</w:t>
      </w:r>
      <w:r w:rsidRPr="00102605">
        <w:t xml:space="preserve"> of </w:t>
      </w:r>
      <w:r w:rsidR="00531F00" w:rsidRPr="00102605">
        <w:t>CAF´s social and environmental safeguards</w:t>
      </w:r>
      <w:r w:rsidRPr="00102605">
        <w:t xml:space="preserve">. The </w:t>
      </w:r>
      <w:r w:rsidR="00531F00" w:rsidRPr="00102605">
        <w:t>CAF</w:t>
      </w:r>
      <w:r w:rsidRPr="00102605">
        <w:t xml:space="preserve"> will maintain supervision responsibilities in accordance with the Accreditation Master Agreement (AMA) and/or such other related arrangements </w:t>
      </w:r>
      <w:r w:rsidR="00102605" w:rsidRPr="00102605">
        <w:t>regarding</w:t>
      </w:r>
      <w:r w:rsidRPr="00102605">
        <w:t xml:space="preserve"> the </w:t>
      </w:r>
      <w:r w:rsidR="005154D0" w:rsidRPr="00102605">
        <w:t>Sub-</w:t>
      </w:r>
      <w:r w:rsidRPr="00102605">
        <w:t>Program</w:t>
      </w:r>
      <w:r w:rsidR="005154D0" w:rsidRPr="00102605">
        <w:t xml:space="preserve"> 2</w:t>
      </w:r>
      <w:r w:rsidRPr="00102605">
        <w:t xml:space="preserve">. </w:t>
      </w:r>
    </w:p>
    <w:p w14:paraId="6C6A12DC" w14:textId="77777777" w:rsidR="00D07B6F" w:rsidRPr="00102605" w:rsidRDefault="00D07B6F" w:rsidP="00D07B6F">
      <w:pPr>
        <w:spacing w:after="0" w:line="240" w:lineRule="auto"/>
      </w:pPr>
    </w:p>
    <w:p w14:paraId="0B4AEE54" w14:textId="2C9D115B" w:rsidR="00532377" w:rsidRPr="00102605" w:rsidRDefault="00DD7442" w:rsidP="00D07B6F">
      <w:pPr>
        <w:pStyle w:val="Ttulo1"/>
        <w:numPr>
          <w:ilvl w:val="0"/>
          <w:numId w:val="1"/>
        </w:numPr>
        <w:spacing w:before="0" w:after="0" w:line="240" w:lineRule="auto"/>
      </w:pPr>
      <w:bookmarkStart w:id="2" w:name="_Toc114152201"/>
      <w:r w:rsidRPr="00102605">
        <w:t>Program</w:t>
      </w:r>
      <w:r w:rsidR="00532377" w:rsidRPr="00102605">
        <w:t xml:space="preserve"> Description</w:t>
      </w:r>
      <w:bookmarkEnd w:id="2"/>
    </w:p>
    <w:p w14:paraId="5FFC0BD2" w14:textId="08B73E41" w:rsidR="006029C5" w:rsidRPr="00102605" w:rsidRDefault="00DD7442" w:rsidP="00E45BBC">
      <w:pPr>
        <w:pStyle w:val="Ttulo1"/>
        <w:numPr>
          <w:ilvl w:val="1"/>
          <w:numId w:val="1"/>
        </w:numPr>
        <w:spacing w:before="0" w:after="0" w:line="240" w:lineRule="auto"/>
        <w:ind w:left="567" w:hanging="567"/>
      </w:pPr>
      <w:bookmarkStart w:id="3" w:name="_Toc114152202"/>
      <w:r w:rsidRPr="00102605">
        <w:t>Program</w:t>
      </w:r>
      <w:r w:rsidR="006029C5" w:rsidRPr="00102605">
        <w:t xml:space="preserve"> Scope</w:t>
      </w:r>
      <w:bookmarkEnd w:id="3"/>
    </w:p>
    <w:p w14:paraId="6AE87E3E" w14:textId="77777777" w:rsidR="00D07B6F" w:rsidRDefault="00D07B6F" w:rsidP="00D07B6F">
      <w:pPr>
        <w:spacing w:after="0" w:line="240" w:lineRule="auto"/>
      </w:pPr>
    </w:p>
    <w:p w14:paraId="07661A61" w14:textId="6CD8F719" w:rsidR="008469D9" w:rsidRDefault="004123AB" w:rsidP="00D07B6F">
      <w:pPr>
        <w:spacing w:after="0" w:line="240" w:lineRule="auto"/>
      </w:pPr>
      <w:r w:rsidRPr="00102605">
        <w:t>The E-Mo</w:t>
      </w:r>
      <w:r w:rsidR="00213393">
        <w:t>tion</w:t>
      </w:r>
      <w:r w:rsidRPr="00102605">
        <w:t xml:space="preserve"> </w:t>
      </w:r>
      <w:r w:rsidR="00213393">
        <w:t>p</w:t>
      </w:r>
      <w:r w:rsidR="00DD7442" w:rsidRPr="00102605">
        <w:t>rogram</w:t>
      </w:r>
      <w:r w:rsidRPr="00102605">
        <w:t xml:space="preserve"> aims to enable a large-scale regional transition towards electro-mobility in Latin America focusing on intensive use vehicles leading to reduced fossil fuel consumption, greenhouse gas emissions and air pollutions.</w:t>
      </w:r>
      <w:r w:rsidR="00775073" w:rsidRPr="00102605">
        <w:t xml:space="preserve"> </w:t>
      </w:r>
      <w:r w:rsidR="008469D9" w:rsidRPr="00102605">
        <w:t>The</w:t>
      </w:r>
      <w:r w:rsidR="00775073" w:rsidRPr="00102605">
        <w:t xml:space="preserve"> </w:t>
      </w:r>
      <w:r w:rsidR="00DD7442" w:rsidRPr="00102605">
        <w:t>Program</w:t>
      </w:r>
      <w:r w:rsidR="008469D9" w:rsidRPr="00102605">
        <w:t xml:space="preserve"> will be implemented in two </w:t>
      </w:r>
      <w:r w:rsidR="00180456" w:rsidRPr="00102605">
        <w:t>S</w:t>
      </w:r>
      <w:r w:rsidR="008469D9" w:rsidRPr="00102605">
        <w:t>ub</w:t>
      </w:r>
      <w:r w:rsidR="00DD7442" w:rsidRPr="00102605">
        <w:t>program</w:t>
      </w:r>
      <w:r w:rsidR="008469D9" w:rsidRPr="00102605">
        <w:t>s</w:t>
      </w:r>
      <w:r w:rsidR="00B61B3B" w:rsidRPr="00102605">
        <w:t xml:space="preserve"> and </w:t>
      </w:r>
      <w:r w:rsidR="00712907" w:rsidRPr="00102605">
        <w:t xml:space="preserve">through two </w:t>
      </w:r>
      <w:r w:rsidR="00B61B3B" w:rsidRPr="00102605">
        <w:t>GCF Funding Proposals</w:t>
      </w:r>
      <w:r w:rsidR="00180456" w:rsidRPr="00102605">
        <w:t>: one by AFD (Sub-Program 1) as an Accredited Entity to cover 8 countries, and one by CAF (Sub-Program 2) to cover</w:t>
      </w:r>
      <w:r w:rsidR="0093714E" w:rsidRPr="00102605">
        <w:t xml:space="preserve"> 3 countries</w:t>
      </w:r>
      <w:r w:rsidR="00D33858" w:rsidRPr="00102605">
        <w:t>, all of them located</w:t>
      </w:r>
      <w:r w:rsidR="0093714E" w:rsidRPr="00102605">
        <w:t xml:space="preserve"> in Latin America</w:t>
      </w:r>
      <w:r w:rsidR="008469D9" w:rsidRPr="00102605">
        <w:t>.</w:t>
      </w:r>
      <w:r w:rsidR="00B61B3B" w:rsidRPr="00102605">
        <w:t xml:space="preserve"> </w:t>
      </w:r>
    </w:p>
    <w:p w14:paraId="75B0FB74" w14:textId="77777777" w:rsidR="00A0575B" w:rsidRPr="00102605" w:rsidRDefault="00A0575B" w:rsidP="00D07B6F">
      <w:pPr>
        <w:spacing w:after="0" w:line="240" w:lineRule="auto"/>
      </w:pPr>
    </w:p>
    <w:p w14:paraId="3E5F70FA" w14:textId="5A8C7437" w:rsidR="000D217C" w:rsidRDefault="008469D9" w:rsidP="00D07B6F">
      <w:pPr>
        <w:spacing w:after="0" w:line="240" w:lineRule="auto"/>
        <w:rPr>
          <w:rFonts w:asciiTheme="minorBidi" w:hAnsiTheme="minorBidi"/>
        </w:rPr>
      </w:pPr>
      <w:r w:rsidRPr="00102605">
        <w:t>The E-Motion Sub-</w:t>
      </w:r>
      <w:r w:rsidR="00DD7442" w:rsidRPr="00102605">
        <w:t>Program</w:t>
      </w:r>
      <w:r w:rsidRPr="00102605">
        <w:t xml:space="preserve"> 2 shall contribute to overcome the barriers to mass deployment of commercial </w:t>
      </w:r>
      <w:r w:rsidR="00143368">
        <w:t>EVs</w:t>
      </w:r>
      <w:r w:rsidRPr="00102605">
        <w:t xml:space="preserve"> in Uruguay, </w:t>
      </w:r>
      <w:r w:rsidR="00102605" w:rsidRPr="00102605">
        <w:t>Paraguay,</w:t>
      </w:r>
      <w:r w:rsidRPr="00102605">
        <w:t xml:space="preserve"> and Panamá. </w:t>
      </w:r>
      <w:r w:rsidRPr="00102605">
        <w:rPr>
          <w:rFonts w:asciiTheme="minorBidi" w:hAnsiTheme="minorBidi"/>
        </w:rPr>
        <w:t>The proposed intervention</w:t>
      </w:r>
      <w:r w:rsidR="00D33858" w:rsidRPr="00102605">
        <w:rPr>
          <w:rFonts w:asciiTheme="minorBidi" w:hAnsiTheme="minorBidi"/>
        </w:rPr>
        <w:t>s</w:t>
      </w:r>
      <w:r w:rsidRPr="00102605">
        <w:rPr>
          <w:rFonts w:asciiTheme="minorBidi" w:hAnsiTheme="minorBidi"/>
        </w:rPr>
        <w:t xml:space="preserve"> are thus targeted to the specific country situation and follow the concepts of minimum degree of concessionality and high potential of commercial uptake at the end of the </w:t>
      </w:r>
      <w:r w:rsidR="00DD7442" w:rsidRPr="00102605">
        <w:rPr>
          <w:rFonts w:asciiTheme="minorBidi" w:hAnsiTheme="minorBidi"/>
        </w:rPr>
        <w:t>Program</w:t>
      </w:r>
      <w:r w:rsidRPr="00102605">
        <w:rPr>
          <w:rFonts w:asciiTheme="minorBidi" w:hAnsiTheme="minorBidi"/>
        </w:rPr>
        <w:t xml:space="preserve">. Also, the needs for technical assistance on a national and local level has been identified through country specific diagnostics and stakeholder consultations. </w:t>
      </w:r>
    </w:p>
    <w:p w14:paraId="55C9442E" w14:textId="77777777" w:rsidR="00D07B6F" w:rsidRPr="00102605" w:rsidRDefault="00D07B6F" w:rsidP="00D07B6F">
      <w:pPr>
        <w:spacing w:after="0" w:line="240" w:lineRule="auto"/>
      </w:pPr>
    </w:p>
    <w:p w14:paraId="40F64506" w14:textId="25497C25" w:rsidR="000D217C" w:rsidRDefault="000D217C" w:rsidP="00D07B6F">
      <w:pPr>
        <w:spacing w:after="0" w:line="240" w:lineRule="auto"/>
      </w:pPr>
      <w:r w:rsidRPr="00102605">
        <w:t>The potential segments for investment sub-projects in Uruguay, Paraguay and Panama that have been identified (see also Annex 2) are:</w:t>
      </w:r>
    </w:p>
    <w:p w14:paraId="0F2C4C58" w14:textId="77777777" w:rsidR="00D07B6F" w:rsidRPr="00102605" w:rsidRDefault="00D07B6F" w:rsidP="00D07B6F">
      <w:pPr>
        <w:spacing w:after="0" w:line="240" w:lineRule="auto"/>
      </w:pPr>
    </w:p>
    <w:p w14:paraId="46ED9D95" w14:textId="77777777" w:rsidR="000D217C" w:rsidRPr="00102605" w:rsidRDefault="000D217C" w:rsidP="00D07B6F">
      <w:pPr>
        <w:numPr>
          <w:ilvl w:val="0"/>
          <w:numId w:val="45"/>
        </w:numPr>
        <w:spacing w:after="0" w:line="240" w:lineRule="auto"/>
        <w:ind w:left="426" w:hanging="426"/>
      </w:pPr>
      <w:r w:rsidRPr="00102605">
        <w:rPr>
          <w:b/>
          <w:bCs/>
        </w:rPr>
        <w:t>e-buses</w:t>
      </w:r>
      <w:r w:rsidRPr="00102605">
        <w:t xml:space="preserve">. Public / private bus operators with different legal regimes, which could operate </w:t>
      </w:r>
      <w:r w:rsidRPr="00102605">
        <w:rPr>
          <w:b/>
          <w:bCs/>
        </w:rPr>
        <w:t>650 e-buses</w:t>
      </w:r>
      <w:r w:rsidRPr="00102605">
        <w:t xml:space="preserve">. In business model 1 (direct purchase), the operators would own/lease the fleet (e.g., leave from a special purpose vehicle). </w:t>
      </w:r>
    </w:p>
    <w:p w14:paraId="24C34009" w14:textId="41000BD5" w:rsidR="000D217C" w:rsidRDefault="000D217C" w:rsidP="00D07B6F">
      <w:pPr>
        <w:numPr>
          <w:ilvl w:val="0"/>
          <w:numId w:val="45"/>
        </w:numPr>
        <w:spacing w:after="0" w:line="240" w:lineRule="auto"/>
        <w:ind w:left="426" w:hanging="426"/>
      </w:pPr>
      <w:r w:rsidRPr="00102605">
        <w:rPr>
          <w:b/>
          <w:bCs/>
        </w:rPr>
        <w:t>e-LCV</w:t>
      </w:r>
      <w:r w:rsidRPr="00102605">
        <w:t xml:space="preserve">. A variety of LCV users, both public entities and private companies are interested in investing in this type of EV. The potential is </w:t>
      </w:r>
      <w:r w:rsidRPr="00102605">
        <w:rPr>
          <w:b/>
          <w:bCs/>
        </w:rPr>
        <w:t xml:space="preserve">1,150 e-LCV </w:t>
      </w:r>
      <w:r w:rsidRPr="00102605">
        <w:t xml:space="preserve">to be financed under the Sub-program 2. This operation could be managed via a funding Special Purpose Vehicle (SPV) leasing those vehicles. From this total, 900 </w:t>
      </w:r>
      <w:proofErr w:type="spellStart"/>
      <w:r w:rsidRPr="00102605">
        <w:t>eLCV</w:t>
      </w:r>
      <w:proofErr w:type="spellEnd"/>
      <w:r w:rsidRPr="00102605">
        <w:t xml:space="preserve"> are for public fleet operations. The three countries have been implemented and/or plan to create a scrapping program</w:t>
      </w:r>
      <w:r w:rsidR="005C5500">
        <w:rPr>
          <w:rStyle w:val="Refdenotaalpie"/>
        </w:rPr>
        <w:footnoteReference w:id="4"/>
      </w:r>
      <w:r w:rsidRPr="00102605">
        <w:t>. To have a scrapping program for public fleet will enable the scrapping for other segments such private LCVs.</w:t>
      </w:r>
    </w:p>
    <w:p w14:paraId="39D2B096" w14:textId="77777777" w:rsidR="00D76B9B" w:rsidRPr="00102605" w:rsidRDefault="00D76B9B" w:rsidP="006330AF">
      <w:pPr>
        <w:spacing w:after="0" w:line="240" w:lineRule="auto"/>
        <w:ind w:left="426"/>
      </w:pPr>
    </w:p>
    <w:p w14:paraId="3CA1DF1F" w14:textId="0B8A5B79" w:rsidR="00C32958" w:rsidRDefault="00C52955" w:rsidP="00D07B6F">
      <w:pPr>
        <w:spacing w:after="0" w:line="240" w:lineRule="auto"/>
        <w:rPr>
          <w:rFonts w:asciiTheme="minorBidi" w:hAnsiTheme="minorBidi"/>
          <w:iCs/>
        </w:rPr>
      </w:pPr>
      <w:r>
        <w:rPr>
          <w:rFonts w:asciiTheme="minorBidi" w:hAnsiTheme="minorBidi"/>
          <w:iCs/>
        </w:rPr>
        <w:t xml:space="preserve">The </w:t>
      </w:r>
      <w:r w:rsidR="00067368">
        <w:rPr>
          <w:rFonts w:asciiTheme="minorBidi" w:hAnsiTheme="minorBidi"/>
          <w:iCs/>
        </w:rPr>
        <w:t xml:space="preserve">ESA and ESMF are applicable to all </w:t>
      </w:r>
      <w:r>
        <w:rPr>
          <w:rFonts w:asciiTheme="minorBidi" w:hAnsiTheme="minorBidi"/>
          <w:iCs/>
        </w:rPr>
        <w:t xml:space="preserve">Sub-program 2 </w:t>
      </w:r>
      <w:r w:rsidR="00012F07">
        <w:rPr>
          <w:rFonts w:asciiTheme="minorBidi" w:hAnsiTheme="minorBidi"/>
          <w:iCs/>
        </w:rPr>
        <w:t>components</w:t>
      </w:r>
      <w:r w:rsidR="001302A7">
        <w:rPr>
          <w:rFonts w:asciiTheme="minorBidi" w:hAnsiTheme="minorBidi"/>
          <w:iCs/>
        </w:rPr>
        <w:t xml:space="preserve"> (see below). </w:t>
      </w:r>
      <w:r w:rsidR="008F3ACA">
        <w:rPr>
          <w:rFonts w:asciiTheme="minorBidi" w:hAnsiTheme="minorBidi"/>
          <w:iCs/>
        </w:rPr>
        <w:t xml:space="preserve">While the Technical Assistance Component 1 will be financed entirely by GCF grants, </w:t>
      </w:r>
      <w:r w:rsidR="00C32958" w:rsidRPr="00102605">
        <w:rPr>
          <w:rFonts w:asciiTheme="minorBidi" w:hAnsiTheme="minorBidi"/>
          <w:iCs/>
        </w:rPr>
        <w:t>CAF will blend its finance with resources from GCF for the investment Component 2, 3 and 4</w:t>
      </w:r>
      <w:r w:rsidR="00145D03">
        <w:rPr>
          <w:rFonts w:asciiTheme="minorBidi" w:hAnsiTheme="minorBidi"/>
          <w:iCs/>
        </w:rPr>
        <w:t xml:space="preserve">. </w:t>
      </w:r>
      <w:r w:rsidR="00C32958" w:rsidRPr="00102605">
        <w:rPr>
          <w:rFonts w:asciiTheme="minorBidi" w:hAnsiTheme="minorBidi"/>
          <w:iCs/>
        </w:rPr>
        <w:t xml:space="preserve">The financing amount will be defined based on the specific requirements of each </w:t>
      </w:r>
      <w:r w:rsidR="00C524AB">
        <w:rPr>
          <w:rFonts w:asciiTheme="minorBidi" w:hAnsiTheme="minorBidi"/>
          <w:iCs/>
        </w:rPr>
        <w:t>sub-</w:t>
      </w:r>
      <w:r w:rsidR="00C32958" w:rsidRPr="00102605">
        <w:rPr>
          <w:rFonts w:asciiTheme="minorBidi" w:hAnsiTheme="minorBidi"/>
          <w:iCs/>
        </w:rPr>
        <w:t xml:space="preserve">project. CAF will finance sub-projects implemented by both public and private bodies and potentially channel the funds to the beneficiaries through country-specific, financial intermediaries. </w:t>
      </w:r>
      <w:r w:rsidR="008A2826">
        <w:rPr>
          <w:rFonts w:asciiTheme="minorBidi" w:hAnsiTheme="minorBidi"/>
          <w:iCs/>
        </w:rPr>
        <w:t xml:space="preserve">While the intended indirect beneficiaries are all users of fast charging infrastructure and electrified public transport in the three countries, the intended direct beneficiaries of </w:t>
      </w:r>
      <w:r w:rsidR="00AF4077">
        <w:rPr>
          <w:rFonts w:asciiTheme="minorBidi" w:hAnsiTheme="minorBidi"/>
          <w:iCs/>
        </w:rPr>
        <w:t>the program</w:t>
      </w:r>
      <w:r w:rsidR="008A2826">
        <w:rPr>
          <w:rFonts w:asciiTheme="minorBidi" w:hAnsiTheme="minorBidi"/>
          <w:iCs/>
        </w:rPr>
        <w:t xml:space="preserve"> are </w:t>
      </w:r>
      <w:r w:rsidR="00B05AA6">
        <w:rPr>
          <w:rFonts w:asciiTheme="minorBidi" w:hAnsiTheme="minorBidi"/>
          <w:iCs/>
        </w:rPr>
        <w:t>p</w:t>
      </w:r>
      <w:r w:rsidR="008A2826" w:rsidRPr="0018579D">
        <w:rPr>
          <w:rFonts w:asciiTheme="minorBidi" w:hAnsiTheme="minorBidi"/>
          <w:iCs/>
        </w:rPr>
        <w:t>ublic authorities (e.g., municipalities, federal states), public utility firms, SPV’s under PPP arrangements or private companies</w:t>
      </w:r>
      <w:r w:rsidR="008A2826">
        <w:rPr>
          <w:rFonts w:asciiTheme="minorBidi" w:hAnsiTheme="minorBidi"/>
          <w:iCs/>
        </w:rPr>
        <w:t xml:space="preserve">. </w:t>
      </w:r>
      <w:r w:rsidR="00C32958" w:rsidRPr="00102605">
        <w:rPr>
          <w:rFonts w:asciiTheme="minorBidi" w:hAnsiTheme="minorBidi"/>
          <w:iCs/>
        </w:rPr>
        <w:t>According to the market study (see Annex</w:t>
      </w:r>
      <w:r w:rsidR="00203223">
        <w:rPr>
          <w:rFonts w:asciiTheme="minorBidi" w:hAnsiTheme="minorBidi"/>
          <w:iCs/>
        </w:rPr>
        <w:t xml:space="preserve"> </w:t>
      </w:r>
      <w:r w:rsidR="00BC2879">
        <w:rPr>
          <w:rFonts w:asciiTheme="minorBidi" w:hAnsiTheme="minorBidi"/>
          <w:iCs/>
        </w:rPr>
        <w:t>7)</w:t>
      </w:r>
      <w:r w:rsidR="00C32958" w:rsidRPr="00102605">
        <w:rPr>
          <w:rFonts w:asciiTheme="minorBidi" w:hAnsiTheme="minorBidi"/>
          <w:iCs/>
        </w:rPr>
        <w:t>, the following institutions have shown their interest and deem the finance approach feasible:</w:t>
      </w:r>
    </w:p>
    <w:p w14:paraId="2E720191" w14:textId="77777777" w:rsidR="00D07B6F" w:rsidRPr="00102605" w:rsidRDefault="00D07B6F" w:rsidP="00D07B6F">
      <w:pPr>
        <w:spacing w:after="0" w:line="240" w:lineRule="auto"/>
        <w:rPr>
          <w:rFonts w:asciiTheme="minorBidi" w:hAnsiTheme="minorBidi"/>
          <w:iCs/>
        </w:rPr>
      </w:pPr>
    </w:p>
    <w:p w14:paraId="059101AD" w14:textId="77777777" w:rsidR="00C32958" w:rsidRPr="00EF47DA" w:rsidRDefault="00C32958" w:rsidP="00D07B6F">
      <w:pPr>
        <w:spacing w:after="0" w:line="240" w:lineRule="auto"/>
        <w:rPr>
          <w:rFonts w:asciiTheme="minorBidi" w:hAnsiTheme="minorBidi"/>
          <w:b/>
          <w:bCs/>
          <w:u w:val="single"/>
          <w:lang w:val="es-AR"/>
        </w:rPr>
      </w:pPr>
      <w:proofErr w:type="spellStart"/>
      <w:r w:rsidRPr="00EF47DA">
        <w:rPr>
          <w:rFonts w:asciiTheme="minorBidi" w:hAnsiTheme="minorBidi"/>
          <w:b/>
          <w:bCs/>
          <w:u w:val="single"/>
          <w:lang w:val="es-AR"/>
        </w:rPr>
        <w:t>Panama</w:t>
      </w:r>
      <w:proofErr w:type="spellEnd"/>
    </w:p>
    <w:p w14:paraId="26F9F349" w14:textId="4714F8E4" w:rsidR="00C32958" w:rsidRPr="00EF47DA" w:rsidRDefault="00C32958" w:rsidP="00D07B6F">
      <w:pPr>
        <w:spacing w:after="0" w:line="240" w:lineRule="auto"/>
        <w:rPr>
          <w:rFonts w:asciiTheme="minorBidi" w:hAnsiTheme="minorBidi"/>
          <w:lang w:val="es-AR"/>
        </w:rPr>
      </w:pPr>
      <w:proofErr w:type="spellStart"/>
      <w:r w:rsidRPr="00EF47DA">
        <w:rPr>
          <w:rFonts w:asciiTheme="minorBidi" w:hAnsiTheme="minorBidi"/>
          <w:lang w:val="es-AR"/>
        </w:rPr>
        <w:t>Component</w:t>
      </w:r>
      <w:proofErr w:type="spellEnd"/>
      <w:r w:rsidRPr="00EF47DA">
        <w:rPr>
          <w:rFonts w:asciiTheme="minorBidi" w:hAnsiTheme="minorBidi"/>
          <w:lang w:val="es-AR"/>
        </w:rPr>
        <w:t xml:space="preserve"> 2: Ministerio de Economía y Finanzas (MEF), METRO (</w:t>
      </w:r>
      <w:proofErr w:type="spellStart"/>
      <w:r w:rsidRPr="00EF47DA">
        <w:rPr>
          <w:rFonts w:asciiTheme="minorBidi" w:hAnsiTheme="minorBidi"/>
          <w:lang w:val="es-AR"/>
        </w:rPr>
        <w:t>own</w:t>
      </w:r>
      <w:proofErr w:type="spellEnd"/>
      <w:r w:rsidRPr="00EF47DA">
        <w:rPr>
          <w:rFonts w:asciiTheme="minorBidi" w:hAnsiTheme="minorBidi"/>
          <w:lang w:val="es-AR"/>
        </w:rPr>
        <w:t xml:space="preserve"> </w:t>
      </w:r>
      <w:proofErr w:type="spellStart"/>
      <w:r w:rsidRPr="00EF47DA">
        <w:rPr>
          <w:rFonts w:asciiTheme="minorBidi" w:hAnsiTheme="minorBidi"/>
          <w:lang w:val="es-AR"/>
        </w:rPr>
        <w:t>MiBus</w:t>
      </w:r>
      <w:proofErr w:type="spellEnd"/>
      <w:r w:rsidRPr="00EF47DA">
        <w:rPr>
          <w:rFonts w:asciiTheme="minorBidi" w:hAnsiTheme="minorBidi"/>
          <w:lang w:val="es-AR"/>
        </w:rPr>
        <w:t xml:space="preserve">), </w:t>
      </w:r>
      <w:proofErr w:type="spellStart"/>
      <w:r w:rsidRPr="00EF47DA">
        <w:rPr>
          <w:rFonts w:asciiTheme="minorBidi" w:hAnsiTheme="minorBidi"/>
          <w:lang w:val="es-AR"/>
        </w:rPr>
        <w:t>MiBus</w:t>
      </w:r>
      <w:proofErr w:type="spellEnd"/>
      <w:r w:rsidRPr="00EF47DA">
        <w:rPr>
          <w:rFonts w:asciiTheme="minorBidi" w:hAnsiTheme="minorBidi"/>
          <w:lang w:val="es-AR"/>
        </w:rPr>
        <w:t xml:space="preserve"> (</w:t>
      </w:r>
      <w:proofErr w:type="spellStart"/>
      <w:r w:rsidRPr="00EF47DA">
        <w:rPr>
          <w:rFonts w:asciiTheme="minorBidi" w:hAnsiTheme="minorBidi"/>
          <w:lang w:val="es-AR"/>
        </w:rPr>
        <w:t>operator</w:t>
      </w:r>
      <w:proofErr w:type="spellEnd"/>
      <w:r w:rsidRPr="00EF47DA">
        <w:rPr>
          <w:rFonts w:asciiTheme="minorBidi" w:hAnsiTheme="minorBidi"/>
          <w:lang w:val="es-AR"/>
        </w:rPr>
        <w:t>), Banco Nacional de Panamá (BNP), Caja de Ahorro (CA).</w:t>
      </w:r>
    </w:p>
    <w:p w14:paraId="5DF6FC27" w14:textId="77777777" w:rsidR="00C32958" w:rsidRPr="00EF47DA" w:rsidRDefault="00C32958" w:rsidP="00D07B6F">
      <w:pPr>
        <w:spacing w:after="0" w:line="240" w:lineRule="auto"/>
        <w:rPr>
          <w:rFonts w:asciiTheme="minorBidi" w:hAnsiTheme="minorBidi"/>
          <w:lang w:val="es-AR"/>
        </w:rPr>
      </w:pPr>
      <w:proofErr w:type="spellStart"/>
      <w:r w:rsidRPr="00EF47DA">
        <w:rPr>
          <w:rFonts w:asciiTheme="minorBidi" w:hAnsiTheme="minorBidi"/>
          <w:lang w:val="es-AR"/>
        </w:rPr>
        <w:t>Component</w:t>
      </w:r>
      <w:proofErr w:type="spellEnd"/>
      <w:r w:rsidRPr="00EF47DA">
        <w:rPr>
          <w:rFonts w:asciiTheme="minorBidi" w:hAnsiTheme="minorBidi"/>
          <w:lang w:val="es-AR"/>
        </w:rPr>
        <w:t xml:space="preserve"> 3 and 4: Banco Central, Caja de Ahorro, Ministerio de Economía y Finanzas (MEF).</w:t>
      </w:r>
    </w:p>
    <w:p w14:paraId="13F72C4B" w14:textId="77777777" w:rsidR="00C32958" w:rsidRPr="00EF47DA" w:rsidRDefault="00C32958" w:rsidP="00D07B6F">
      <w:pPr>
        <w:spacing w:after="0" w:line="240" w:lineRule="auto"/>
        <w:rPr>
          <w:rFonts w:asciiTheme="minorBidi" w:hAnsiTheme="minorBidi"/>
          <w:b/>
          <w:bCs/>
          <w:u w:val="single"/>
          <w:lang w:val="es-AR"/>
        </w:rPr>
      </w:pPr>
    </w:p>
    <w:p w14:paraId="5C6F0B0D" w14:textId="600DFEDC" w:rsidR="00C32958" w:rsidRPr="00EF47DA" w:rsidRDefault="00C32958" w:rsidP="00D07B6F">
      <w:pPr>
        <w:spacing w:after="0" w:line="240" w:lineRule="auto"/>
        <w:rPr>
          <w:rFonts w:asciiTheme="minorBidi" w:hAnsiTheme="minorBidi"/>
          <w:b/>
          <w:bCs/>
          <w:u w:val="single"/>
          <w:lang w:val="es-AR"/>
        </w:rPr>
      </w:pPr>
      <w:r w:rsidRPr="00EF47DA">
        <w:rPr>
          <w:rFonts w:asciiTheme="minorBidi" w:hAnsiTheme="minorBidi"/>
          <w:b/>
          <w:bCs/>
          <w:u w:val="single"/>
          <w:lang w:val="es-AR"/>
        </w:rPr>
        <w:t>Paraguay</w:t>
      </w:r>
    </w:p>
    <w:p w14:paraId="2B07C904" w14:textId="77777777" w:rsidR="00C32958" w:rsidRPr="00EF47DA" w:rsidRDefault="00C32958" w:rsidP="00D07B6F">
      <w:pPr>
        <w:spacing w:after="0" w:line="240" w:lineRule="auto"/>
        <w:rPr>
          <w:rFonts w:asciiTheme="minorBidi" w:hAnsiTheme="minorBidi"/>
          <w:lang w:val="es-AR"/>
        </w:rPr>
      </w:pPr>
      <w:proofErr w:type="spellStart"/>
      <w:r w:rsidRPr="00EF47DA">
        <w:rPr>
          <w:rFonts w:asciiTheme="minorBidi" w:hAnsiTheme="minorBidi"/>
          <w:lang w:val="es-AR"/>
        </w:rPr>
        <w:t>Component</w:t>
      </w:r>
      <w:proofErr w:type="spellEnd"/>
      <w:r w:rsidRPr="00EF47DA">
        <w:rPr>
          <w:rFonts w:asciiTheme="minorBidi" w:hAnsiTheme="minorBidi"/>
          <w:lang w:val="es-AR"/>
        </w:rPr>
        <w:t xml:space="preserve"> 2, 3 and 4: Ministerio de Hacienda (MH) and Banco Nacional de Fomento (BNF).</w:t>
      </w:r>
    </w:p>
    <w:p w14:paraId="68B54566" w14:textId="77777777" w:rsidR="00D07B6F" w:rsidRDefault="00D07B6F" w:rsidP="00D07B6F">
      <w:pPr>
        <w:spacing w:after="0" w:line="240" w:lineRule="auto"/>
        <w:rPr>
          <w:rFonts w:asciiTheme="minorBidi" w:hAnsiTheme="minorBidi"/>
          <w:b/>
          <w:bCs/>
          <w:u w:val="single"/>
          <w:lang w:val="es-AR"/>
        </w:rPr>
      </w:pPr>
    </w:p>
    <w:p w14:paraId="6B52A0A7" w14:textId="21C6F517" w:rsidR="00C32958" w:rsidRPr="00EF47DA" w:rsidRDefault="00C32958" w:rsidP="00D07B6F">
      <w:pPr>
        <w:spacing w:after="0" w:line="240" w:lineRule="auto"/>
        <w:rPr>
          <w:rFonts w:asciiTheme="minorBidi" w:hAnsiTheme="minorBidi"/>
          <w:b/>
          <w:bCs/>
          <w:u w:val="single"/>
          <w:lang w:val="es-AR"/>
        </w:rPr>
      </w:pPr>
      <w:r w:rsidRPr="00EF47DA">
        <w:rPr>
          <w:rFonts w:asciiTheme="minorBidi" w:hAnsiTheme="minorBidi"/>
          <w:b/>
          <w:bCs/>
          <w:u w:val="single"/>
          <w:lang w:val="es-AR"/>
        </w:rPr>
        <w:t>Uruguay</w:t>
      </w:r>
    </w:p>
    <w:p w14:paraId="5BEA0E84" w14:textId="706A1364" w:rsidR="00C32958" w:rsidRPr="00EF47DA" w:rsidRDefault="00C32958" w:rsidP="00D07B6F">
      <w:pPr>
        <w:spacing w:after="0" w:line="240" w:lineRule="auto"/>
        <w:rPr>
          <w:rFonts w:asciiTheme="minorBidi" w:hAnsiTheme="minorBidi"/>
          <w:lang w:val="es-AR"/>
        </w:rPr>
      </w:pPr>
      <w:proofErr w:type="spellStart"/>
      <w:r w:rsidRPr="00EF47DA">
        <w:rPr>
          <w:rFonts w:asciiTheme="minorBidi" w:hAnsiTheme="minorBidi"/>
          <w:lang w:val="es-AR"/>
        </w:rPr>
        <w:t>Component</w:t>
      </w:r>
      <w:proofErr w:type="spellEnd"/>
      <w:r w:rsidRPr="00EF47DA">
        <w:rPr>
          <w:rFonts w:asciiTheme="minorBidi" w:hAnsiTheme="minorBidi"/>
          <w:lang w:val="es-AR"/>
        </w:rPr>
        <w:t xml:space="preserve"> 2: Ministerio de Economía y Finanzas (MEF) and Banco República Uruguay (BROU).</w:t>
      </w:r>
    </w:p>
    <w:p w14:paraId="3D3BD4DD" w14:textId="77777777" w:rsidR="00C32958" w:rsidRPr="00EF47DA" w:rsidRDefault="00C32958" w:rsidP="00D07B6F">
      <w:pPr>
        <w:spacing w:after="0" w:line="240" w:lineRule="auto"/>
        <w:rPr>
          <w:rFonts w:asciiTheme="minorBidi" w:hAnsiTheme="minorBidi"/>
          <w:lang w:val="es-AR"/>
        </w:rPr>
      </w:pPr>
      <w:proofErr w:type="spellStart"/>
      <w:r w:rsidRPr="00EF47DA">
        <w:rPr>
          <w:rFonts w:asciiTheme="minorBidi" w:hAnsiTheme="minorBidi"/>
          <w:lang w:val="es-AR"/>
        </w:rPr>
        <w:t>Component</w:t>
      </w:r>
      <w:proofErr w:type="spellEnd"/>
      <w:r w:rsidRPr="00EF47DA">
        <w:rPr>
          <w:rFonts w:asciiTheme="minorBidi" w:hAnsiTheme="minorBidi"/>
          <w:lang w:val="es-AR"/>
        </w:rPr>
        <w:t xml:space="preserve"> 3 and 4: Ministerio de Economía y Finanzas (MEF), Intendencia Montevideo (IM), Administración Nacional de Usinas y Trasmisiones Eléctricas (UTE, </w:t>
      </w:r>
      <w:proofErr w:type="spellStart"/>
      <w:r w:rsidRPr="00EF47DA">
        <w:rPr>
          <w:rFonts w:asciiTheme="minorBidi" w:hAnsiTheme="minorBidi"/>
          <w:lang w:val="es-AR"/>
        </w:rPr>
        <w:t>national</w:t>
      </w:r>
      <w:proofErr w:type="spellEnd"/>
      <w:r w:rsidRPr="00EF47DA">
        <w:rPr>
          <w:rFonts w:asciiTheme="minorBidi" w:hAnsiTheme="minorBidi"/>
          <w:lang w:val="es-AR"/>
        </w:rPr>
        <w:t xml:space="preserve"> </w:t>
      </w:r>
      <w:proofErr w:type="spellStart"/>
      <w:r w:rsidRPr="00EF47DA">
        <w:rPr>
          <w:rFonts w:asciiTheme="minorBidi" w:hAnsiTheme="minorBidi"/>
          <w:lang w:val="es-AR"/>
        </w:rPr>
        <w:t>energy</w:t>
      </w:r>
      <w:proofErr w:type="spellEnd"/>
      <w:r w:rsidRPr="00EF47DA">
        <w:rPr>
          <w:rFonts w:asciiTheme="minorBidi" w:hAnsiTheme="minorBidi"/>
          <w:lang w:val="es-AR"/>
        </w:rPr>
        <w:t xml:space="preserve"> </w:t>
      </w:r>
      <w:proofErr w:type="spellStart"/>
      <w:r w:rsidRPr="00EF47DA">
        <w:rPr>
          <w:rFonts w:asciiTheme="minorBidi" w:hAnsiTheme="minorBidi"/>
          <w:lang w:val="es-AR"/>
        </w:rPr>
        <w:t>utility</w:t>
      </w:r>
      <w:proofErr w:type="spellEnd"/>
      <w:r w:rsidRPr="00EF47DA">
        <w:rPr>
          <w:rFonts w:asciiTheme="minorBidi" w:hAnsiTheme="minorBidi"/>
          <w:lang w:val="es-AR"/>
        </w:rPr>
        <w:t>) and Banco República Uruguay (BROU).</w:t>
      </w:r>
    </w:p>
    <w:p w14:paraId="1985B02F" w14:textId="77777777" w:rsidR="00173529" w:rsidRPr="00EF47DA" w:rsidRDefault="00173529" w:rsidP="00D07B6F">
      <w:pPr>
        <w:spacing w:after="0" w:line="240" w:lineRule="auto"/>
        <w:rPr>
          <w:lang w:val="es-AR"/>
        </w:rPr>
      </w:pPr>
    </w:p>
    <w:p w14:paraId="60A60CEF" w14:textId="0D34564A" w:rsidR="00D3192E" w:rsidRDefault="00960F28" w:rsidP="00D07B6F">
      <w:pPr>
        <w:spacing w:after="0" w:line="240" w:lineRule="auto"/>
      </w:pPr>
      <w:r w:rsidRPr="00102605">
        <w:t xml:space="preserve">In the case of </w:t>
      </w:r>
      <w:r w:rsidR="00F33990" w:rsidRPr="00102605">
        <w:t>LCV</w:t>
      </w:r>
      <w:r w:rsidRPr="00102605">
        <w:t xml:space="preserve">, the experience with initial fleet deployment is that a fast-charging infrastructure is required. Mileage and utilization rate of </w:t>
      </w:r>
      <w:r w:rsidR="00B7678F" w:rsidRPr="00102605">
        <w:t>LCV</w:t>
      </w:r>
      <w:r w:rsidRPr="00102605">
        <w:t xml:space="preserve"> is often very high. Frequently more than 1 driver share the </w:t>
      </w:r>
      <w:r w:rsidR="00F33990" w:rsidRPr="00102605">
        <w:t>vehicle</w:t>
      </w:r>
      <w:r w:rsidRPr="00102605">
        <w:t xml:space="preserve"> which can be in operations for 24/7. Home-charging or conventional urban public chargers are too slow as they require 2 or more hours to add an additional 100 km of range. This means that e-</w:t>
      </w:r>
      <w:r w:rsidR="00E95C37" w:rsidRPr="00102605">
        <w:t>LCVs</w:t>
      </w:r>
      <w:r w:rsidRPr="00102605">
        <w:t xml:space="preserve"> not only require a large battery set to enable a long range, but also need to have fast-chargeable batteries and they require a network of fast chargers</w:t>
      </w:r>
      <w:r w:rsidR="00E95C37" w:rsidRPr="00102605">
        <w:t>.</w:t>
      </w:r>
    </w:p>
    <w:p w14:paraId="2BDF0E81" w14:textId="77777777" w:rsidR="00D07B6F" w:rsidRPr="00102605" w:rsidRDefault="00D07B6F" w:rsidP="00D07B6F">
      <w:pPr>
        <w:spacing w:after="0" w:line="240" w:lineRule="auto"/>
      </w:pPr>
    </w:p>
    <w:p w14:paraId="120334E5" w14:textId="2599D367" w:rsidR="00961383" w:rsidRDefault="00961383" w:rsidP="00D07B6F">
      <w:pPr>
        <w:spacing w:after="0" w:line="240" w:lineRule="auto"/>
        <w:rPr>
          <w:color w:val="000000" w:themeColor="text1"/>
          <w:lang w:eastAsia="ja-JP"/>
        </w:rPr>
      </w:pPr>
      <w:r w:rsidRPr="00102605">
        <w:rPr>
          <w:color w:val="000000" w:themeColor="text1"/>
          <w:lang w:eastAsia="ja-JP"/>
        </w:rPr>
        <w:t xml:space="preserve">The </w:t>
      </w:r>
      <w:r w:rsidR="000D217C" w:rsidRPr="00102605">
        <w:rPr>
          <w:color w:val="000000" w:themeColor="text1"/>
          <w:lang w:eastAsia="ja-JP"/>
        </w:rPr>
        <w:t>Sub-Program 2</w:t>
      </w:r>
      <w:r w:rsidRPr="00102605">
        <w:rPr>
          <w:color w:val="000000" w:themeColor="text1"/>
          <w:lang w:eastAsia="ja-JP"/>
        </w:rPr>
        <w:t xml:space="preserve"> is structured in </w:t>
      </w:r>
      <w:r w:rsidR="0036134F" w:rsidRPr="00102605">
        <w:rPr>
          <w:color w:val="000000" w:themeColor="text1"/>
          <w:lang w:eastAsia="ja-JP"/>
        </w:rPr>
        <w:t>4 key</w:t>
      </w:r>
      <w:r w:rsidRPr="00102605">
        <w:rPr>
          <w:color w:val="000000" w:themeColor="text1"/>
          <w:lang w:eastAsia="ja-JP"/>
        </w:rPr>
        <w:t xml:space="preserve"> </w:t>
      </w:r>
      <w:r w:rsidR="005C2C1A" w:rsidRPr="00102605">
        <w:rPr>
          <w:color w:val="000000" w:themeColor="text1"/>
          <w:lang w:eastAsia="ja-JP"/>
        </w:rPr>
        <w:t>C</w:t>
      </w:r>
      <w:r w:rsidRPr="00102605">
        <w:rPr>
          <w:color w:val="000000" w:themeColor="text1"/>
          <w:lang w:eastAsia="ja-JP"/>
        </w:rPr>
        <w:t>omponents</w:t>
      </w:r>
      <w:r w:rsidR="00472DE9" w:rsidRPr="00102605">
        <w:rPr>
          <w:color w:val="000000" w:themeColor="text1"/>
          <w:lang w:eastAsia="ja-JP"/>
        </w:rPr>
        <w:t xml:space="preserve"> with the following activ</w:t>
      </w:r>
      <w:r w:rsidR="0078289F">
        <w:rPr>
          <w:color w:val="000000" w:themeColor="text1"/>
          <w:lang w:eastAsia="ja-JP"/>
        </w:rPr>
        <w:t>i</w:t>
      </w:r>
      <w:r w:rsidR="00472DE9" w:rsidRPr="00102605">
        <w:rPr>
          <w:color w:val="000000" w:themeColor="text1"/>
          <w:lang w:eastAsia="ja-JP"/>
        </w:rPr>
        <w:t>ties</w:t>
      </w:r>
      <w:r w:rsidRPr="00102605">
        <w:rPr>
          <w:color w:val="000000" w:themeColor="text1"/>
          <w:lang w:eastAsia="ja-JP"/>
        </w:rPr>
        <w:t>:</w:t>
      </w:r>
    </w:p>
    <w:p w14:paraId="4C4FF424" w14:textId="77777777" w:rsidR="00D07B6F" w:rsidRPr="00102605" w:rsidRDefault="00D07B6F" w:rsidP="00D07B6F">
      <w:pPr>
        <w:spacing w:after="0" w:line="240" w:lineRule="auto"/>
        <w:rPr>
          <w:color w:val="000000" w:themeColor="text1"/>
          <w:lang w:eastAsia="ja-JP"/>
        </w:rPr>
      </w:pPr>
    </w:p>
    <w:p w14:paraId="4102F084" w14:textId="2690E143" w:rsidR="007608E6" w:rsidRPr="00102605" w:rsidRDefault="006951BD" w:rsidP="00D07B6F">
      <w:pPr>
        <w:spacing w:after="0" w:line="240" w:lineRule="auto"/>
        <w:rPr>
          <w:color w:val="000000" w:themeColor="text1"/>
          <w:lang w:eastAsia="ja-JP"/>
        </w:rPr>
      </w:pPr>
      <w:r w:rsidRPr="00102605">
        <w:rPr>
          <w:color w:val="000000" w:themeColor="text1"/>
          <w:u w:val="single"/>
          <w:lang w:eastAsia="ja-JP"/>
        </w:rPr>
        <w:t>Component 1: Establishment of an e-mobility conducive ecosystem</w:t>
      </w:r>
      <w:r w:rsidRPr="00102605">
        <w:rPr>
          <w:color w:val="000000" w:themeColor="text1"/>
          <w:lang w:eastAsia="ja-JP"/>
        </w:rPr>
        <w:t xml:space="preserve">. </w:t>
      </w:r>
      <w:r w:rsidR="007608E6" w:rsidRPr="00102605">
        <w:rPr>
          <w:color w:val="000000" w:themeColor="text1"/>
          <w:lang w:eastAsia="ja-JP"/>
        </w:rPr>
        <w:t>The principal activities to be undertaken in this compone</w:t>
      </w:r>
      <w:r w:rsidR="006B3FAF" w:rsidRPr="00102605">
        <w:rPr>
          <w:color w:val="000000" w:themeColor="text1"/>
          <w:lang w:eastAsia="ja-JP"/>
        </w:rPr>
        <w:t>n</w:t>
      </w:r>
      <w:r w:rsidR="007608E6" w:rsidRPr="00102605">
        <w:rPr>
          <w:color w:val="000000" w:themeColor="text1"/>
          <w:lang w:eastAsia="ja-JP"/>
        </w:rPr>
        <w:t>t include the following:</w:t>
      </w:r>
    </w:p>
    <w:p w14:paraId="19FC4490" w14:textId="77777777" w:rsidR="007608E6" w:rsidRPr="00102605" w:rsidRDefault="007608E6" w:rsidP="00D07B6F">
      <w:pPr>
        <w:spacing w:after="0" w:line="240" w:lineRule="auto"/>
        <w:rPr>
          <w:color w:val="000000" w:themeColor="text1"/>
          <w:lang w:eastAsia="ja-JP"/>
        </w:rPr>
      </w:pPr>
    </w:p>
    <w:p w14:paraId="13F44FB9" w14:textId="2F7DBC8F" w:rsidR="007608E6" w:rsidRPr="00102605" w:rsidRDefault="007608E6" w:rsidP="00D07B6F">
      <w:pPr>
        <w:pStyle w:val="Prrafodelista"/>
        <w:numPr>
          <w:ilvl w:val="0"/>
          <w:numId w:val="35"/>
        </w:numPr>
        <w:spacing w:after="0" w:line="240" w:lineRule="auto"/>
        <w:rPr>
          <w:color w:val="000000" w:themeColor="text1"/>
          <w:lang w:eastAsia="ja-JP"/>
        </w:rPr>
      </w:pPr>
      <w:r w:rsidRPr="00102605">
        <w:rPr>
          <w:color w:val="000000" w:themeColor="text1"/>
          <w:lang w:eastAsia="ja-JP"/>
        </w:rPr>
        <w:t>Design and communication/dissemination of national sustainable e-mobility strateg</w:t>
      </w:r>
      <w:r w:rsidR="006B3FAF" w:rsidRPr="00102605">
        <w:rPr>
          <w:color w:val="000000" w:themeColor="text1"/>
          <w:lang w:eastAsia="ja-JP"/>
        </w:rPr>
        <w:t>ies</w:t>
      </w:r>
      <w:r w:rsidRPr="00102605">
        <w:rPr>
          <w:color w:val="000000" w:themeColor="text1"/>
          <w:lang w:eastAsia="ja-JP"/>
        </w:rPr>
        <w:t xml:space="preserve"> and implementation (delivery) plan</w:t>
      </w:r>
      <w:r w:rsidR="006B3FAF" w:rsidRPr="00102605">
        <w:rPr>
          <w:color w:val="000000" w:themeColor="text1"/>
          <w:lang w:eastAsia="ja-JP"/>
        </w:rPr>
        <w:t>s</w:t>
      </w:r>
      <w:r w:rsidR="004520A2" w:rsidRPr="00102605">
        <w:rPr>
          <w:color w:val="000000" w:themeColor="text1"/>
          <w:lang w:eastAsia="ja-JP"/>
        </w:rPr>
        <w:t>.</w:t>
      </w:r>
    </w:p>
    <w:p w14:paraId="6F95F1E0" w14:textId="6B6343F2" w:rsidR="002912AB" w:rsidRPr="00102605" w:rsidRDefault="006B3FAF" w:rsidP="00D07B6F">
      <w:pPr>
        <w:pStyle w:val="Prrafodelista"/>
        <w:numPr>
          <w:ilvl w:val="0"/>
          <w:numId w:val="35"/>
        </w:numPr>
        <w:spacing w:after="0" w:line="240" w:lineRule="auto"/>
        <w:rPr>
          <w:color w:val="000000" w:themeColor="text1"/>
          <w:lang w:eastAsia="ja-JP"/>
        </w:rPr>
      </w:pPr>
      <w:r w:rsidRPr="00102605">
        <w:rPr>
          <w:color w:val="000000" w:themeColor="text1"/>
          <w:lang w:eastAsia="ja-JP"/>
        </w:rPr>
        <w:t>M</w:t>
      </w:r>
      <w:r w:rsidR="002912AB" w:rsidRPr="00102605">
        <w:rPr>
          <w:color w:val="000000" w:themeColor="text1"/>
          <w:lang w:eastAsia="ja-JP"/>
        </w:rPr>
        <w:t xml:space="preserve">ulti-stakeholder consultation and </w:t>
      </w:r>
      <w:r w:rsidR="002912AB" w:rsidRPr="00102605">
        <w:t xml:space="preserve">capacity building strategy </w:t>
      </w:r>
      <w:r w:rsidR="002912AB" w:rsidRPr="00102605">
        <w:rPr>
          <w:color w:val="000000" w:themeColor="text1"/>
          <w:lang w:eastAsia="ja-JP"/>
        </w:rPr>
        <w:t>and recommend on a long-term coordination mechanism</w:t>
      </w:r>
      <w:r w:rsidR="004520A2" w:rsidRPr="00102605">
        <w:rPr>
          <w:color w:val="000000" w:themeColor="text1"/>
          <w:lang w:eastAsia="ja-JP"/>
        </w:rPr>
        <w:t>.</w:t>
      </w:r>
    </w:p>
    <w:p w14:paraId="6BAE0EB6" w14:textId="6159D3CC" w:rsidR="002912AB" w:rsidRPr="00102605" w:rsidRDefault="006B3FAF" w:rsidP="00D07B6F">
      <w:pPr>
        <w:pStyle w:val="Prrafodelista"/>
        <w:numPr>
          <w:ilvl w:val="0"/>
          <w:numId w:val="35"/>
        </w:numPr>
        <w:spacing w:after="0" w:line="240" w:lineRule="auto"/>
        <w:rPr>
          <w:color w:val="000000" w:themeColor="text1"/>
          <w:lang w:eastAsia="ja-JP"/>
        </w:rPr>
      </w:pPr>
      <w:r w:rsidRPr="00102605">
        <w:rPr>
          <w:color w:val="000000" w:themeColor="text1"/>
          <w:lang w:eastAsia="ja-JP"/>
        </w:rPr>
        <w:t>T</w:t>
      </w:r>
      <w:r w:rsidR="002912AB" w:rsidRPr="00102605">
        <w:t xml:space="preserve">echnical support </w:t>
      </w:r>
      <w:r w:rsidRPr="00102605">
        <w:t xml:space="preserve">provision </w:t>
      </w:r>
      <w:r w:rsidR="002912AB" w:rsidRPr="00102605">
        <w:t xml:space="preserve">to relevant national and local authorities </w:t>
      </w:r>
      <w:proofErr w:type="gramStart"/>
      <w:r w:rsidR="002912AB" w:rsidRPr="00102605">
        <w:t>in order to</w:t>
      </w:r>
      <w:proofErr w:type="gramEnd"/>
      <w:r w:rsidR="002912AB" w:rsidRPr="00102605">
        <w:t xml:space="preserve"> set-up, improve and/or enforce enabling public policies and legal, regulatory and/or normative frameworks for e-mobility.</w:t>
      </w:r>
    </w:p>
    <w:p w14:paraId="5D617FE9" w14:textId="716B971F" w:rsidR="006B3FAF" w:rsidRPr="00102605" w:rsidRDefault="006B3FAF" w:rsidP="00D07B6F">
      <w:pPr>
        <w:pStyle w:val="Prrafodelista"/>
        <w:numPr>
          <w:ilvl w:val="0"/>
          <w:numId w:val="35"/>
        </w:numPr>
        <w:spacing w:after="0" w:line="240" w:lineRule="auto"/>
        <w:rPr>
          <w:color w:val="000000" w:themeColor="text1"/>
          <w:lang w:eastAsia="ja-JP"/>
        </w:rPr>
      </w:pPr>
      <w:r w:rsidRPr="00102605">
        <w:t xml:space="preserve">Capacity building, training and permanent technical </w:t>
      </w:r>
      <w:r w:rsidR="00102605" w:rsidRPr="00102605">
        <w:t>advice</w:t>
      </w:r>
      <w:r w:rsidRPr="00102605">
        <w:t xml:space="preserve"> made available on </w:t>
      </w:r>
      <w:r w:rsidR="00143368">
        <w:t>EVs</w:t>
      </w:r>
      <w:r w:rsidRPr="00102605">
        <w:t xml:space="preserve"> and charging </w:t>
      </w:r>
      <w:r w:rsidR="00102605" w:rsidRPr="00102605">
        <w:t>infrastructure operation</w:t>
      </w:r>
      <w:r w:rsidRPr="00102605">
        <w:t xml:space="preserve">, maintenance, health and safety and optimal management of EV fleets. Technology suppliers will lead </w:t>
      </w:r>
      <w:r w:rsidR="00102605" w:rsidRPr="00102605">
        <w:t>these activities</w:t>
      </w:r>
      <w:r w:rsidRPr="00102605">
        <w:t>.</w:t>
      </w:r>
    </w:p>
    <w:p w14:paraId="502459CE" w14:textId="6B8E7EB8" w:rsidR="002912AB" w:rsidRPr="00102605" w:rsidRDefault="00C04C7E" w:rsidP="00D07B6F">
      <w:pPr>
        <w:pStyle w:val="Prrafodelista"/>
        <w:numPr>
          <w:ilvl w:val="0"/>
          <w:numId w:val="35"/>
        </w:numPr>
        <w:spacing w:after="0" w:line="240" w:lineRule="auto"/>
        <w:rPr>
          <w:color w:val="000000" w:themeColor="text1"/>
          <w:lang w:eastAsia="ja-JP"/>
        </w:rPr>
      </w:pPr>
      <w:r w:rsidRPr="00102605">
        <w:rPr>
          <w:color w:val="000000" w:themeColor="text1"/>
          <w:lang w:eastAsia="ja-JP"/>
        </w:rPr>
        <w:t xml:space="preserve">Strengthening and development of standards and a </w:t>
      </w:r>
      <w:r w:rsidR="00102605" w:rsidRPr="00102605">
        <w:rPr>
          <w:color w:val="000000" w:themeColor="text1"/>
          <w:lang w:eastAsia="ja-JP"/>
        </w:rPr>
        <w:t>policy framework</w:t>
      </w:r>
      <w:r w:rsidRPr="00102605">
        <w:rPr>
          <w:color w:val="000000" w:themeColor="text1"/>
          <w:lang w:eastAsia="ja-JP"/>
        </w:rPr>
        <w:t xml:space="preserve"> for regulating and enforcing regulations on road vehicle emissions.</w:t>
      </w:r>
      <w:r w:rsidRPr="00102605">
        <w:t xml:space="preserve"> Proposals to be drafted for adoption by government ministries.</w:t>
      </w:r>
    </w:p>
    <w:p w14:paraId="2A9CD069" w14:textId="218FAAB4" w:rsidR="00C04C7E" w:rsidRPr="00102605" w:rsidRDefault="00C04C7E" w:rsidP="00D07B6F">
      <w:pPr>
        <w:pStyle w:val="Prrafodelista"/>
        <w:numPr>
          <w:ilvl w:val="0"/>
          <w:numId w:val="35"/>
        </w:numPr>
        <w:spacing w:after="0" w:line="240" w:lineRule="auto"/>
        <w:rPr>
          <w:color w:val="000000" w:themeColor="text1"/>
          <w:lang w:eastAsia="ja-JP"/>
        </w:rPr>
      </w:pPr>
      <w:r w:rsidRPr="00102605">
        <w:t>Policy Advice on battery re-usage, recycling and disposal and capacity development at a national level.</w:t>
      </w:r>
    </w:p>
    <w:p w14:paraId="75451440" w14:textId="4791626B" w:rsidR="007608E6" w:rsidRPr="00102605" w:rsidRDefault="00C04C7E" w:rsidP="00D07B6F">
      <w:pPr>
        <w:pStyle w:val="Prrafodelista"/>
        <w:numPr>
          <w:ilvl w:val="0"/>
          <w:numId w:val="35"/>
        </w:numPr>
        <w:spacing w:after="0" w:line="240" w:lineRule="auto"/>
        <w:rPr>
          <w:color w:val="000000" w:themeColor="text1"/>
          <w:lang w:eastAsia="ja-JP"/>
        </w:rPr>
      </w:pPr>
      <w:r w:rsidRPr="00102605">
        <w:rPr>
          <w:color w:val="000000" w:themeColor="text1"/>
          <w:lang w:eastAsia="ja-JP"/>
        </w:rPr>
        <w:t xml:space="preserve">Preparing for scale-up and replication fiscal incentives schemes to promote electric mobility. This </w:t>
      </w:r>
      <w:r w:rsidR="00102605" w:rsidRPr="00102605">
        <w:rPr>
          <w:color w:val="000000" w:themeColor="text1"/>
          <w:lang w:eastAsia="ja-JP"/>
        </w:rPr>
        <w:t>activity</w:t>
      </w:r>
      <w:r w:rsidRPr="00102605">
        <w:rPr>
          <w:color w:val="000000" w:themeColor="text1"/>
          <w:lang w:eastAsia="ja-JP"/>
        </w:rPr>
        <w:t xml:space="preserve"> includes the </w:t>
      </w:r>
      <w:r w:rsidRPr="00102605">
        <w:t>d</w:t>
      </w:r>
      <w:r w:rsidRPr="00102605">
        <w:rPr>
          <w:rFonts w:asciiTheme="minorBidi" w:hAnsiTheme="minorBidi"/>
        </w:rPr>
        <w:t>evelopment and advisory services provision on optimal business models and financial structuring which relate to the peculiarities of dif</w:t>
      </w:r>
      <w:r w:rsidR="004520A2" w:rsidRPr="00102605">
        <w:rPr>
          <w:rFonts w:asciiTheme="minorBidi" w:hAnsiTheme="minorBidi"/>
        </w:rPr>
        <w:t xml:space="preserve">ferent </w:t>
      </w:r>
      <w:r w:rsidR="00143368">
        <w:rPr>
          <w:rFonts w:asciiTheme="minorBidi" w:hAnsiTheme="minorBidi"/>
        </w:rPr>
        <w:t>EVs</w:t>
      </w:r>
      <w:r w:rsidR="004520A2" w:rsidRPr="00102605">
        <w:rPr>
          <w:rFonts w:asciiTheme="minorBidi" w:hAnsiTheme="minorBidi"/>
        </w:rPr>
        <w:t>.</w:t>
      </w:r>
    </w:p>
    <w:p w14:paraId="4BC38C1A" w14:textId="77777777" w:rsidR="006951BD" w:rsidRPr="00102605" w:rsidRDefault="006951BD" w:rsidP="00D07B6F">
      <w:pPr>
        <w:pStyle w:val="Prrafodelista"/>
        <w:spacing w:after="0" w:line="240" w:lineRule="auto"/>
        <w:rPr>
          <w:color w:val="000000" w:themeColor="text1"/>
          <w:lang w:eastAsia="ja-JP"/>
        </w:rPr>
      </w:pPr>
    </w:p>
    <w:p w14:paraId="574210BD" w14:textId="2EF86E60" w:rsidR="004520A2" w:rsidRPr="00102605" w:rsidRDefault="00961383" w:rsidP="00D07B6F">
      <w:pPr>
        <w:spacing w:after="0" w:line="240" w:lineRule="auto"/>
        <w:rPr>
          <w:color w:val="000000" w:themeColor="text1"/>
          <w:lang w:eastAsia="ja-JP"/>
        </w:rPr>
      </w:pPr>
      <w:r w:rsidRPr="00102605">
        <w:rPr>
          <w:color w:val="000000" w:themeColor="text1"/>
          <w:u w:val="single"/>
          <w:lang w:eastAsia="ja-JP"/>
        </w:rPr>
        <w:t xml:space="preserve">Component </w:t>
      </w:r>
      <w:r w:rsidR="006951BD" w:rsidRPr="00102605">
        <w:rPr>
          <w:color w:val="000000" w:themeColor="text1"/>
          <w:u w:val="single"/>
          <w:lang w:eastAsia="ja-JP"/>
        </w:rPr>
        <w:t>2</w:t>
      </w:r>
      <w:r w:rsidRPr="00102605">
        <w:rPr>
          <w:color w:val="000000" w:themeColor="text1"/>
          <w:u w:val="single"/>
          <w:lang w:eastAsia="ja-JP"/>
        </w:rPr>
        <w:t>: Deployment of e-bus fleets.</w:t>
      </w:r>
      <w:r w:rsidRPr="00102605">
        <w:rPr>
          <w:color w:val="000000" w:themeColor="text1"/>
          <w:lang w:eastAsia="ja-JP"/>
        </w:rPr>
        <w:t xml:space="preserve"> </w:t>
      </w:r>
      <w:r w:rsidR="00141B3D" w:rsidRPr="00102605">
        <w:rPr>
          <w:color w:val="000000" w:themeColor="text1"/>
          <w:lang w:eastAsia="ja-JP"/>
        </w:rPr>
        <w:t>The goal is to deploy large-scale fleets of electric buses to showcase their technical and commercial viability to operators.</w:t>
      </w:r>
      <w:r w:rsidR="004520A2" w:rsidRPr="00102605">
        <w:rPr>
          <w:color w:val="000000" w:themeColor="text1"/>
          <w:lang w:eastAsia="ja-JP"/>
        </w:rPr>
        <w:t xml:space="preserve"> The principal activities to be undertaken in this component include the following:</w:t>
      </w:r>
    </w:p>
    <w:p w14:paraId="4E14EEA1" w14:textId="77777777" w:rsidR="004520A2" w:rsidRPr="00102605" w:rsidRDefault="004520A2" w:rsidP="00A0575B">
      <w:pPr>
        <w:spacing w:after="0" w:line="240" w:lineRule="auto"/>
        <w:rPr>
          <w:color w:val="000000" w:themeColor="text1"/>
          <w:lang w:eastAsia="ja-JP"/>
        </w:rPr>
      </w:pPr>
    </w:p>
    <w:p w14:paraId="6F01C3D5" w14:textId="2F797AEA" w:rsidR="0027126C" w:rsidRDefault="00FF4D11" w:rsidP="00D07B6F">
      <w:pPr>
        <w:pStyle w:val="Prrafodelista"/>
        <w:numPr>
          <w:ilvl w:val="0"/>
          <w:numId w:val="36"/>
        </w:numPr>
        <w:spacing w:after="0" w:line="240" w:lineRule="auto"/>
        <w:rPr>
          <w:color w:val="000000" w:themeColor="text1"/>
          <w:lang w:eastAsia="ja-JP"/>
        </w:rPr>
      </w:pPr>
      <w:r>
        <w:rPr>
          <w:color w:val="000000" w:themeColor="text1"/>
          <w:lang w:eastAsia="ja-JP"/>
        </w:rPr>
        <w:t>Preparation, financing</w:t>
      </w:r>
      <w:r w:rsidR="00F57423">
        <w:rPr>
          <w:color w:val="000000" w:themeColor="text1"/>
          <w:lang w:eastAsia="ja-JP"/>
        </w:rPr>
        <w:t>, and implementation of e-bus sub-projects</w:t>
      </w:r>
    </w:p>
    <w:p w14:paraId="21CF8A1E" w14:textId="77777777" w:rsidR="00F93FB1" w:rsidRDefault="00F93FB1" w:rsidP="00D07B6F">
      <w:pPr>
        <w:pStyle w:val="Prrafodelista"/>
        <w:numPr>
          <w:ilvl w:val="0"/>
          <w:numId w:val="36"/>
        </w:numPr>
        <w:spacing w:after="0" w:line="240" w:lineRule="auto"/>
        <w:rPr>
          <w:color w:val="000000" w:themeColor="text1"/>
          <w:lang w:eastAsia="ja-JP"/>
        </w:rPr>
      </w:pPr>
      <w:r w:rsidRPr="00F93FB1">
        <w:rPr>
          <w:color w:val="000000" w:themeColor="text1"/>
          <w:lang w:eastAsia="ja-JP"/>
        </w:rPr>
        <w:t>Implement</w:t>
      </w:r>
      <w:r>
        <w:rPr>
          <w:color w:val="000000" w:themeColor="text1"/>
          <w:lang w:eastAsia="ja-JP"/>
        </w:rPr>
        <w:t>ation</w:t>
      </w:r>
      <w:r w:rsidRPr="00F93FB1">
        <w:rPr>
          <w:color w:val="000000" w:themeColor="text1"/>
          <w:lang w:eastAsia="ja-JP"/>
        </w:rPr>
        <w:t xml:space="preserve"> and operat</w:t>
      </w:r>
      <w:r>
        <w:rPr>
          <w:color w:val="000000" w:themeColor="text1"/>
          <w:lang w:eastAsia="ja-JP"/>
        </w:rPr>
        <w:t>ion of</w:t>
      </w:r>
      <w:r w:rsidRPr="00F93FB1">
        <w:rPr>
          <w:color w:val="000000" w:themeColor="text1"/>
          <w:lang w:eastAsia="ja-JP"/>
        </w:rPr>
        <w:t xml:space="preserve"> smart facilities that enhance public transport access and improve inter-modality and non-motorised transport</w:t>
      </w:r>
    </w:p>
    <w:p w14:paraId="64DA1904" w14:textId="77777777" w:rsidR="00F93FB1" w:rsidRPr="000739C8" w:rsidRDefault="00F93FB1" w:rsidP="000739C8">
      <w:pPr>
        <w:spacing w:after="0" w:line="240" w:lineRule="auto"/>
        <w:rPr>
          <w:color w:val="000000" w:themeColor="text1"/>
          <w:lang w:eastAsia="ja-JP"/>
        </w:rPr>
      </w:pPr>
    </w:p>
    <w:p w14:paraId="64AFE925" w14:textId="4CA01250" w:rsidR="00624C3A" w:rsidRPr="000739C8" w:rsidRDefault="00372445" w:rsidP="000739C8">
      <w:pPr>
        <w:spacing w:after="0" w:line="240" w:lineRule="auto"/>
        <w:rPr>
          <w:color w:val="000000" w:themeColor="text1"/>
          <w:lang w:eastAsia="ja-JP"/>
        </w:rPr>
      </w:pPr>
      <w:r>
        <w:rPr>
          <w:color w:val="000000" w:themeColor="text1"/>
          <w:lang w:eastAsia="ja-JP"/>
        </w:rPr>
        <w:t>Details for the s</w:t>
      </w:r>
      <w:r w:rsidR="00C524AB" w:rsidRPr="000739C8">
        <w:rPr>
          <w:color w:val="000000" w:themeColor="text1"/>
          <w:lang w:eastAsia="ja-JP"/>
        </w:rPr>
        <w:t>ub-</w:t>
      </w:r>
      <w:proofErr w:type="gramStart"/>
      <w:r>
        <w:rPr>
          <w:color w:val="000000" w:themeColor="text1"/>
          <w:lang w:eastAsia="ja-JP"/>
        </w:rPr>
        <w:t>p</w:t>
      </w:r>
      <w:r w:rsidR="00624C3A" w:rsidRPr="000739C8">
        <w:rPr>
          <w:color w:val="000000" w:themeColor="text1"/>
          <w:lang w:eastAsia="ja-JP"/>
        </w:rPr>
        <w:t>roject</w:t>
      </w:r>
      <w:r w:rsidR="00C524AB" w:rsidRPr="000739C8">
        <w:rPr>
          <w:color w:val="000000" w:themeColor="text1"/>
          <w:lang w:eastAsia="ja-JP"/>
        </w:rPr>
        <w:t>s</w:t>
      </w:r>
      <w:proofErr w:type="gramEnd"/>
      <w:r w:rsidR="00624C3A" w:rsidRPr="000739C8">
        <w:rPr>
          <w:color w:val="000000" w:themeColor="text1"/>
          <w:lang w:eastAsia="ja-JP"/>
        </w:rPr>
        <w:t xml:space="preserve"> preparation, </w:t>
      </w:r>
      <w:r w:rsidR="00102605" w:rsidRPr="000739C8">
        <w:rPr>
          <w:color w:val="000000" w:themeColor="text1"/>
          <w:lang w:eastAsia="ja-JP"/>
        </w:rPr>
        <w:t>financing,</w:t>
      </w:r>
      <w:r w:rsidR="00624C3A" w:rsidRPr="000739C8">
        <w:rPr>
          <w:color w:val="000000" w:themeColor="text1"/>
          <w:lang w:eastAsia="ja-JP"/>
        </w:rPr>
        <w:t xml:space="preserve"> and implementation </w:t>
      </w:r>
      <w:r>
        <w:rPr>
          <w:color w:val="000000" w:themeColor="text1"/>
          <w:lang w:eastAsia="ja-JP"/>
        </w:rPr>
        <w:t xml:space="preserve">for the </w:t>
      </w:r>
      <w:r w:rsidR="00624C3A" w:rsidRPr="000739C8">
        <w:rPr>
          <w:color w:val="000000" w:themeColor="text1"/>
          <w:lang w:eastAsia="ja-JP"/>
        </w:rPr>
        <w:t xml:space="preserve">deployment of around </w:t>
      </w:r>
      <w:r w:rsidR="00173529" w:rsidRPr="000739C8">
        <w:rPr>
          <w:color w:val="000000" w:themeColor="text1"/>
          <w:lang w:eastAsia="ja-JP"/>
        </w:rPr>
        <w:t>6</w:t>
      </w:r>
      <w:r w:rsidR="00624C3A" w:rsidRPr="000739C8">
        <w:rPr>
          <w:color w:val="000000" w:themeColor="text1"/>
          <w:lang w:eastAsia="ja-JP"/>
        </w:rPr>
        <w:t>50 e-buses</w:t>
      </w:r>
      <w:r w:rsidR="008C2584">
        <w:rPr>
          <w:color w:val="000000" w:themeColor="text1"/>
          <w:lang w:eastAsia="ja-JP"/>
        </w:rPr>
        <w:t xml:space="preserve"> are</w:t>
      </w:r>
      <w:r w:rsidR="00624C3A" w:rsidRPr="000739C8">
        <w:rPr>
          <w:color w:val="000000" w:themeColor="text1"/>
          <w:lang w:eastAsia="ja-JP"/>
        </w:rPr>
        <w:t xml:space="preserve"> </w:t>
      </w:r>
      <w:r w:rsidR="008C2584">
        <w:rPr>
          <w:color w:val="000000" w:themeColor="text1"/>
          <w:lang w:eastAsia="ja-JP"/>
        </w:rPr>
        <w:t xml:space="preserve">displayed in </w:t>
      </w:r>
      <w:r w:rsidR="008C2584">
        <w:rPr>
          <w:color w:val="000000" w:themeColor="text1"/>
          <w:lang w:eastAsia="ja-JP"/>
        </w:rPr>
        <w:fldChar w:fldCharType="begin"/>
      </w:r>
      <w:r w:rsidR="008C2584">
        <w:rPr>
          <w:color w:val="000000" w:themeColor="text1"/>
          <w:lang w:eastAsia="ja-JP"/>
        </w:rPr>
        <w:instrText xml:space="preserve"> REF _Ref113612434 \h </w:instrText>
      </w:r>
      <w:r w:rsidR="008C2584">
        <w:rPr>
          <w:color w:val="000000" w:themeColor="text1"/>
          <w:lang w:eastAsia="ja-JP"/>
        </w:rPr>
      </w:r>
      <w:r w:rsidR="008C2584">
        <w:rPr>
          <w:color w:val="000000" w:themeColor="text1"/>
          <w:lang w:eastAsia="ja-JP"/>
        </w:rPr>
        <w:fldChar w:fldCharType="separate"/>
      </w:r>
      <w:r w:rsidR="008C2584" w:rsidRPr="00102605">
        <w:t xml:space="preserve">Table </w:t>
      </w:r>
      <w:r w:rsidR="008C2584">
        <w:rPr>
          <w:noProof/>
        </w:rPr>
        <w:t>1</w:t>
      </w:r>
      <w:r w:rsidR="008C2584">
        <w:rPr>
          <w:color w:val="000000" w:themeColor="text1"/>
          <w:lang w:eastAsia="ja-JP"/>
        </w:rPr>
        <w:fldChar w:fldCharType="end"/>
      </w:r>
      <w:r w:rsidR="00114695">
        <w:rPr>
          <w:color w:val="000000" w:themeColor="text1"/>
          <w:lang w:eastAsia="ja-JP"/>
        </w:rPr>
        <w:t xml:space="preserve"> and </w:t>
      </w:r>
      <w:r w:rsidR="00367A87">
        <w:rPr>
          <w:color w:val="000000" w:themeColor="text1"/>
          <w:lang w:eastAsia="ja-JP"/>
        </w:rPr>
        <w:fldChar w:fldCharType="begin"/>
      </w:r>
      <w:r w:rsidR="00367A87">
        <w:rPr>
          <w:color w:val="000000" w:themeColor="text1"/>
          <w:lang w:eastAsia="ja-JP"/>
        </w:rPr>
        <w:instrText xml:space="preserve"> REF _Ref113612894 \h </w:instrText>
      </w:r>
      <w:r w:rsidR="00367A87">
        <w:rPr>
          <w:color w:val="000000" w:themeColor="text1"/>
          <w:lang w:eastAsia="ja-JP"/>
        </w:rPr>
      </w:r>
      <w:r w:rsidR="00367A87">
        <w:rPr>
          <w:color w:val="000000" w:themeColor="text1"/>
          <w:lang w:eastAsia="ja-JP"/>
        </w:rPr>
        <w:fldChar w:fldCharType="separate"/>
      </w:r>
      <w:r w:rsidR="00367A87">
        <w:t xml:space="preserve">Table </w:t>
      </w:r>
      <w:r w:rsidR="00367A87">
        <w:rPr>
          <w:noProof/>
        </w:rPr>
        <w:t>2</w:t>
      </w:r>
      <w:r w:rsidR="00367A87">
        <w:rPr>
          <w:color w:val="000000" w:themeColor="text1"/>
          <w:lang w:eastAsia="ja-JP"/>
        </w:rPr>
        <w:fldChar w:fldCharType="end"/>
      </w:r>
      <w:r w:rsidR="008C2584">
        <w:rPr>
          <w:color w:val="000000" w:themeColor="text1"/>
          <w:lang w:eastAsia="ja-JP"/>
        </w:rPr>
        <w:t>.</w:t>
      </w:r>
    </w:p>
    <w:p w14:paraId="2898DAB8" w14:textId="7520EA7A" w:rsidR="00624C3A" w:rsidRPr="00102605" w:rsidRDefault="00624C3A" w:rsidP="00D07B6F">
      <w:pPr>
        <w:spacing w:after="0" w:line="240" w:lineRule="auto"/>
        <w:rPr>
          <w:color w:val="000000" w:themeColor="text1"/>
          <w:lang w:eastAsia="ja-JP"/>
        </w:rPr>
      </w:pPr>
    </w:p>
    <w:p w14:paraId="3889D921" w14:textId="27518C43" w:rsidR="00DD6165" w:rsidRPr="00102605" w:rsidRDefault="00DD6165" w:rsidP="00D07B6F">
      <w:pPr>
        <w:spacing w:after="0"/>
      </w:pPr>
      <w:bookmarkStart w:id="4" w:name="_Ref113612434"/>
      <w:r w:rsidRPr="00102605">
        <w:t xml:space="preserve">Table </w:t>
      </w:r>
      <w:r>
        <w:fldChar w:fldCharType="begin"/>
      </w:r>
      <w:r>
        <w:instrText>SEQ Table \* ARABIC</w:instrText>
      </w:r>
      <w:r>
        <w:fldChar w:fldCharType="separate"/>
      </w:r>
      <w:r w:rsidR="00072B3C">
        <w:rPr>
          <w:noProof/>
        </w:rPr>
        <w:t>1</w:t>
      </w:r>
      <w:r>
        <w:fldChar w:fldCharType="end"/>
      </w:r>
      <w:bookmarkEnd w:id="4"/>
      <w:r w:rsidRPr="00102605">
        <w:t>: Number of BEB</w:t>
      </w:r>
      <w:r w:rsidR="003C7481" w:rsidRPr="00102605">
        <w:t>s</w:t>
      </w:r>
      <w:r w:rsidRPr="00102605">
        <w:t xml:space="preserve"> expected to be financed by country</w:t>
      </w:r>
    </w:p>
    <w:tbl>
      <w:tblPr>
        <w:tblStyle w:val="TableGrid1"/>
        <w:tblW w:w="9385" w:type="dxa"/>
        <w:tblInd w:w="108" w:type="dxa"/>
        <w:tblLayout w:type="fixed"/>
        <w:tblLook w:val="04A0" w:firstRow="1" w:lastRow="0" w:firstColumn="1" w:lastColumn="0" w:noHBand="0" w:noVBand="1"/>
      </w:tblPr>
      <w:tblGrid>
        <w:gridCol w:w="1021"/>
        <w:gridCol w:w="1418"/>
        <w:gridCol w:w="992"/>
        <w:gridCol w:w="2723"/>
        <w:gridCol w:w="3231"/>
      </w:tblGrid>
      <w:tr w:rsidR="00624C3A" w:rsidRPr="00102605" w14:paraId="6F3049B4" w14:textId="77777777" w:rsidTr="00873187">
        <w:trPr>
          <w:trHeight w:val="364"/>
          <w:tblHeader/>
        </w:trPr>
        <w:tc>
          <w:tcPr>
            <w:tcW w:w="1021" w:type="dxa"/>
            <w:shd w:val="clear" w:color="auto" w:fill="D9E2F3" w:themeFill="accent1" w:themeFillTint="33"/>
            <w:noWrap/>
            <w:hideMark/>
          </w:tcPr>
          <w:p w14:paraId="1BDEC11B" w14:textId="77777777" w:rsidR="00624C3A" w:rsidRPr="00102605" w:rsidRDefault="00624C3A" w:rsidP="000739C8">
            <w:pPr>
              <w:keepNext/>
              <w:jc w:val="center"/>
              <w:rPr>
                <w:rFonts w:cs="Arial"/>
                <w:b/>
                <w:bCs/>
                <w:color w:val="000000"/>
                <w:sz w:val="18"/>
                <w:szCs w:val="18"/>
                <w:lang w:val="en-GB" w:eastAsia="de-DE"/>
              </w:rPr>
            </w:pPr>
            <w:r w:rsidRPr="00102605">
              <w:rPr>
                <w:rFonts w:cs="Arial"/>
                <w:b/>
                <w:bCs/>
                <w:color w:val="000000"/>
                <w:sz w:val="18"/>
                <w:szCs w:val="18"/>
                <w:lang w:val="en-GB"/>
              </w:rPr>
              <w:t>Country</w:t>
            </w:r>
          </w:p>
        </w:tc>
        <w:tc>
          <w:tcPr>
            <w:tcW w:w="1418" w:type="dxa"/>
            <w:shd w:val="clear" w:color="auto" w:fill="D9E2F3" w:themeFill="accent1" w:themeFillTint="33"/>
            <w:noWrap/>
            <w:hideMark/>
          </w:tcPr>
          <w:p w14:paraId="4BA2F65C" w14:textId="77777777" w:rsidR="00624C3A" w:rsidRPr="00102605" w:rsidRDefault="00624C3A" w:rsidP="000739C8">
            <w:pPr>
              <w:keepNext/>
              <w:jc w:val="center"/>
              <w:rPr>
                <w:rFonts w:cs="Arial"/>
                <w:b/>
                <w:bCs/>
                <w:color w:val="000000"/>
                <w:sz w:val="18"/>
                <w:szCs w:val="18"/>
                <w:lang w:val="en-GB"/>
              </w:rPr>
            </w:pPr>
            <w:r w:rsidRPr="00102605">
              <w:rPr>
                <w:rFonts w:cs="Arial"/>
                <w:b/>
                <w:bCs/>
                <w:color w:val="000000"/>
                <w:sz w:val="18"/>
                <w:szCs w:val="18"/>
                <w:lang w:val="en-GB"/>
              </w:rPr>
              <w:t>Fleet</w:t>
            </w:r>
          </w:p>
        </w:tc>
        <w:tc>
          <w:tcPr>
            <w:tcW w:w="992" w:type="dxa"/>
            <w:shd w:val="clear" w:color="auto" w:fill="D9E2F3" w:themeFill="accent1" w:themeFillTint="33"/>
            <w:noWrap/>
            <w:hideMark/>
          </w:tcPr>
          <w:p w14:paraId="45D20130" w14:textId="4071F29B" w:rsidR="00624C3A" w:rsidRPr="00102605" w:rsidRDefault="00624C3A" w:rsidP="000739C8">
            <w:pPr>
              <w:keepNext/>
              <w:jc w:val="center"/>
              <w:rPr>
                <w:rFonts w:cs="Arial"/>
                <w:b/>
                <w:bCs/>
                <w:color w:val="000000"/>
                <w:sz w:val="18"/>
                <w:szCs w:val="18"/>
                <w:lang w:val="en-GB"/>
              </w:rPr>
            </w:pPr>
            <w:r w:rsidRPr="00102605">
              <w:rPr>
                <w:rFonts w:cs="Arial"/>
                <w:b/>
                <w:bCs/>
                <w:color w:val="000000"/>
                <w:sz w:val="18"/>
                <w:szCs w:val="18"/>
                <w:lang w:val="en-GB"/>
              </w:rPr>
              <w:t>Number e-buses</w:t>
            </w:r>
          </w:p>
        </w:tc>
        <w:tc>
          <w:tcPr>
            <w:tcW w:w="2723" w:type="dxa"/>
            <w:shd w:val="clear" w:color="auto" w:fill="D9E2F3" w:themeFill="accent1" w:themeFillTint="33"/>
            <w:noWrap/>
            <w:hideMark/>
          </w:tcPr>
          <w:p w14:paraId="24845925" w14:textId="77777777" w:rsidR="00624C3A" w:rsidRPr="00102605" w:rsidRDefault="00624C3A" w:rsidP="000739C8">
            <w:pPr>
              <w:keepNext/>
              <w:jc w:val="center"/>
              <w:rPr>
                <w:rFonts w:cs="Arial"/>
                <w:b/>
                <w:bCs/>
                <w:color w:val="000000"/>
                <w:sz w:val="18"/>
                <w:szCs w:val="18"/>
                <w:lang w:val="en-GB"/>
              </w:rPr>
            </w:pPr>
            <w:r w:rsidRPr="00102605">
              <w:rPr>
                <w:rFonts w:cs="Arial"/>
                <w:b/>
                <w:bCs/>
                <w:color w:val="000000"/>
                <w:sz w:val="18"/>
                <w:szCs w:val="18"/>
                <w:lang w:val="en-GB"/>
              </w:rPr>
              <w:t xml:space="preserve">Potential implementing partners </w:t>
            </w:r>
            <w:r w:rsidRPr="00102605">
              <w:rPr>
                <w:rFonts w:cs="Arial"/>
                <w:color w:val="000000"/>
                <w:sz w:val="18"/>
                <w:szCs w:val="18"/>
                <w:lang w:val="en-GB"/>
              </w:rPr>
              <w:t>(among others)</w:t>
            </w:r>
          </w:p>
        </w:tc>
        <w:tc>
          <w:tcPr>
            <w:tcW w:w="3231" w:type="dxa"/>
            <w:shd w:val="clear" w:color="auto" w:fill="D9E2F3" w:themeFill="accent1" w:themeFillTint="33"/>
            <w:hideMark/>
          </w:tcPr>
          <w:p w14:paraId="045C9798" w14:textId="77777777" w:rsidR="00624C3A" w:rsidRPr="00102605" w:rsidRDefault="00624C3A" w:rsidP="000739C8">
            <w:pPr>
              <w:keepNext/>
              <w:jc w:val="center"/>
              <w:rPr>
                <w:rFonts w:cs="Arial"/>
                <w:b/>
                <w:bCs/>
                <w:color w:val="000000"/>
                <w:sz w:val="18"/>
                <w:szCs w:val="18"/>
                <w:lang w:val="en-GB"/>
              </w:rPr>
            </w:pPr>
            <w:r w:rsidRPr="00102605">
              <w:rPr>
                <w:rFonts w:cs="Arial"/>
                <w:b/>
                <w:bCs/>
                <w:color w:val="000000"/>
                <w:sz w:val="18"/>
                <w:szCs w:val="18"/>
                <w:lang w:val="en-GB"/>
              </w:rPr>
              <w:t>E-Motion financing model</w:t>
            </w:r>
          </w:p>
        </w:tc>
      </w:tr>
      <w:tr w:rsidR="00624C3A" w:rsidRPr="00102605" w14:paraId="38BABA07" w14:textId="77777777" w:rsidTr="00873187">
        <w:trPr>
          <w:trHeight w:val="1466"/>
        </w:trPr>
        <w:tc>
          <w:tcPr>
            <w:tcW w:w="1021" w:type="dxa"/>
            <w:noWrap/>
            <w:hideMark/>
          </w:tcPr>
          <w:p w14:paraId="2A887408" w14:textId="77777777"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Panama</w:t>
            </w:r>
          </w:p>
        </w:tc>
        <w:tc>
          <w:tcPr>
            <w:tcW w:w="1418" w:type="dxa"/>
            <w:noWrap/>
            <w:hideMark/>
          </w:tcPr>
          <w:p w14:paraId="4FD81146" w14:textId="77777777"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BEB (12m)</w:t>
            </w:r>
          </w:p>
        </w:tc>
        <w:tc>
          <w:tcPr>
            <w:tcW w:w="992" w:type="dxa"/>
            <w:noWrap/>
            <w:hideMark/>
          </w:tcPr>
          <w:p w14:paraId="2F1B9760" w14:textId="77777777" w:rsidR="00624C3A" w:rsidRPr="00102605" w:rsidRDefault="00624C3A" w:rsidP="000739C8">
            <w:pPr>
              <w:keepNext/>
              <w:jc w:val="center"/>
              <w:rPr>
                <w:rFonts w:cs="Arial"/>
                <w:color w:val="000000"/>
                <w:sz w:val="18"/>
                <w:szCs w:val="18"/>
                <w:lang w:val="en-GB"/>
              </w:rPr>
            </w:pPr>
            <w:r w:rsidRPr="00102605">
              <w:rPr>
                <w:rFonts w:cs="Arial"/>
                <w:color w:val="000000"/>
                <w:sz w:val="18"/>
                <w:szCs w:val="18"/>
                <w:lang w:val="en-GB"/>
              </w:rPr>
              <w:t>150</w:t>
            </w:r>
          </w:p>
        </w:tc>
        <w:tc>
          <w:tcPr>
            <w:tcW w:w="2723" w:type="dxa"/>
            <w:hideMark/>
          </w:tcPr>
          <w:p w14:paraId="508B1BC2" w14:textId="77777777" w:rsidR="00624C3A" w:rsidRPr="00EF47DA" w:rsidRDefault="00624C3A" w:rsidP="000739C8">
            <w:pPr>
              <w:keepNext/>
              <w:jc w:val="left"/>
              <w:rPr>
                <w:rFonts w:cs="Arial"/>
                <w:color w:val="000000"/>
                <w:sz w:val="18"/>
                <w:szCs w:val="18"/>
                <w:lang w:val="es-AR"/>
              </w:rPr>
            </w:pPr>
            <w:r w:rsidRPr="00EF47DA">
              <w:rPr>
                <w:rFonts w:cs="Arial"/>
                <w:color w:val="000000"/>
                <w:sz w:val="18"/>
                <w:szCs w:val="18"/>
                <w:lang w:val="es-AR"/>
              </w:rPr>
              <w:t>Ministerio de Economía y Finanzas (MEF), METRO (</w:t>
            </w:r>
            <w:proofErr w:type="spellStart"/>
            <w:r w:rsidRPr="00EF47DA">
              <w:rPr>
                <w:rFonts w:cs="Arial"/>
                <w:color w:val="000000"/>
                <w:sz w:val="18"/>
                <w:szCs w:val="18"/>
                <w:lang w:val="es-AR"/>
              </w:rPr>
              <w:t>owns</w:t>
            </w:r>
            <w:proofErr w:type="spellEnd"/>
            <w:r w:rsidRPr="00EF47DA">
              <w:rPr>
                <w:rFonts w:cs="Arial"/>
                <w:color w:val="000000"/>
                <w:sz w:val="18"/>
                <w:szCs w:val="18"/>
                <w:lang w:val="es-AR"/>
              </w:rPr>
              <w:t xml:space="preserve"> </w:t>
            </w:r>
            <w:proofErr w:type="spellStart"/>
            <w:r w:rsidRPr="00EF47DA">
              <w:rPr>
                <w:rFonts w:cs="Arial"/>
                <w:color w:val="000000"/>
                <w:sz w:val="18"/>
                <w:szCs w:val="18"/>
                <w:lang w:val="es-AR"/>
              </w:rPr>
              <w:t>MiBus</w:t>
            </w:r>
            <w:proofErr w:type="spellEnd"/>
            <w:r w:rsidRPr="00EF47DA">
              <w:rPr>
                <w:rFonts w:cs="Arial"/>
                <w:color w:val="000000"/>
                <w:sz w:val="18"/>
                <w:szCs w:val="18"/>
                <w:lang w:val="es-AR"/>
              </w:rPr>
              <w:t xml:space="preserve">), </w:t>
            </w:r>
            <w:proofErr w:type="spellStart"/>
            <w:r w:rsidRPr="00EF47DA">
              <w:rPr>
                <w:rFonts w:cs="Arial"/>
                <w:color w:val="000000"/>
                <w:sz w:val="18"/>
                <w:szCs w:val="18"/>
                <w:lang w:val="es-AR"/>
              </w:rPr>
              <w:t>MiBus</w:t>
            </w:r>
            <w:proofErr w:type="spellEnd"/>
            <w:r w:rsidRPr="00EF47DA">
              <w:rPr>
                <w:rFonts w:cs="Arial"/>
                <w:color w:val="000000"/>
                <w:sz w:val="18"/>
                <w:szCs w:val="18"/>
                <w:lang w:val="es-AR"/>
              </w:rPr>
              <w:t xml:space="preserve"> (</w:t>
            </w:r>
            <w:proofErr w:type="spellStart"/>
            <w:r w:rsidRPr="00EF47DA">
              <w:rPr>
                <w:rFonts w:cs="Arial"/>
                <w:color w:val="000000"/>
                <w:sz w:val="18"/>
                <w:szCs w:val="18"/>
                <w:lang w:val="es-AR"/>
              </w:rPr>
              <w:t>operator</w:t>
            </w:r>
            <w:proofErr w:type="spellEnd"/>
            <w:r w:rsidRPr="00EF47DA">
              <w:rPr>
                <w:rFonts w:cs="Arial"/>
                <w:color w:val="000000"/>
                <w:sz w:val="18"/>
                <w:szCs w:val="18"/>
                <w:lang w:val="es-AR"/>
              </w:rPr>
              <w:t>), Banco Central (BC), Caja de Ahorro (CA)</w:t>
            </w:r>
          </w:p>
        </w:tc>
        <w:tc>
          <w:tcPr>
            <w:tcW w:w="3231" w:type="dxa"/>
            <w:hideMark/>
          </w:tcPr>
          <w:p w14:paraId="03B4D22C" w14:textId="77777777" w:rsidR="00624C3A" w:rsidRPr="00102605" w:rsidRDefault="00624C3A" w:rsidP="000739C8">
            <w:pPr>
              <w:keepNext/>
              <w:jc w:val="left"/>
              <w:rPr>
                <w:rFonts w:cs="Arial"/>
                <w:color w:val="000000"/>
                <w:sz w:val="18"/>
                <w:szCs w:val="18"/>
                <w:lang w:val="en-GB"/>
              </w:rPr>
            </w:pPr>
            <w:r w:rsidRPr="00102605">
              <w:rPr>
                <w:rFonts w:cs="Arial"/>
                <w:color w:val="000000"/>
                <w:sz w:val="18"/>
                <w:szCs w:val="18"/>
                <w:lang w:val="en-GB"/>
              </w:rPr>
              <w:t xml:space="preserve">MEF and Metro deals with concessional loan to operator </w:t>
            </w:r>
            <w:proofErr w:type="spellStart"/>
            <w:r w:rsidRPr="00102605">
              <w:rPr>
                <w:rFonts w:cs="Arial"/>
                <w:color w:val="000000"/>
                <w:sz w:val="18"/>
                <w:szCs w:val="18"/>
                <w:lang w:val="en-GB"/>
              </w:rPr>
              <w:t>MiBus</w:t>
            </w:r>
            <w:proofErr w:type="spellEnd"/>
            <w:r w:rsidRPr="00102605">
              <w:rPr>
                <w:rFonts w:cs="Arial"/>
                <w:color w:val="000000"/>
                <w:sz w:val="18"/>
                <w:szCs w:val="18"/>
                <w:lang w:val="en-GB"/>
              </w:rPr>
              <w:t xml:space="preserve">, through operational leasing model. </w:t>
            </w:r>
          </w:p>
          <w:p w14:paraId="4AEF9CA7" w14:textId="77777777" w:rsidR="00624C3A" w:rsidRPr="00102605" w:rsidRDefault="00624C3A" w:rsidP="000739C8">
            <w:pPr>
              <w:keepNext/>
              <w:jc w:val="left"/>
              <w:rPr>
                <w:rFonts w:cs="Arial"/>
                <w:color w:val="000000"/>
                <w:sz w:val="18"/>
                <w:szCs w:val="18"/>
                <w:lang w:val="en-GB"/>
              </w:rPr>
            </w:pPr>
            <w:r w:rsidRPr="00102605">
              <w:rPr>
                <w:rFonts w:cs="Arial"/>
                <w:color w:val="000000"/>
                <w:sz w:val="18"/>
                <w:szCs w:val="18"/>
                <w:lang w:val="en-GB"/>
              </w:rPr>
              <w:t xml:space="preserve">BC or CA deals with concessional loan for bus depot electrification. </w:t>
            </w:r>
          </w:p>
          <w:p w14:paraId="6559951F" w14:textId="77777777" w:rsidR="00624C3A" w:rsidRPr="00102605" w:rsidRDefault="00624C3A" w:rsidP="000739C8">
            <w:pPr>
              <w:keepNext/>
              <w:jc w:val="left"/>
              <w:rPr>
                <w:rFonts w:cs="Arial"/>
                <w:color w:val="000000"/>
                <w:sz w:val="18"/>
                <w:szCs w:val="18"/>
                <w:lang w:val="en-GB"/>
              </w:rPr>
            </w:pPr>
            <w:proofErr w:type="spellStart"/>
            <w:r w:rsidRPr="00102605">
              <w:rPr>
                <w:rFonts w:cs="Arial"/>
                <w:color w:val="000000"/>
                <w:sz w:val="18"/>
                <w:szCs w:val="18"/>
                <w:lang w:val="en-GB"/>
              </w:rPr>
              <w:t>MiBus</w:t>
            </w:r>
            <w:proofErr w:type="spellEnd"/>
            <w:r w:rsidRPr="00102605">
              <w:rPr>
                <w:rFonts w:cs="Arial"/>
                <w:color w:val="000000"/>
                <w:sz w:val="18"/>
                <w:szCs w:val="18"/>
                <w:lang w:val="en-GB"/>
              </w:rPr>
              <w:t xml:space="preserve"> has 3 phases, E-Motion supports finance phase 2 and 3</w:t>
            </w:r>
          </w:p>
        </w:tc>
      </w:tr>
      <w:tr w:rsidR="00624C3A" w:rsidRPr="00102605" w14:paraId="1AFBD082" w14:textId="77777777" w:rsidTr="00873187">
        <w:trPr>
          <w:trHeight w:val="808"/>
        </w:trPr>
        <w:tc>
          <w:tcPr>
            <w:tcW w:w="1021" w:type="dxa"/>
            <w:noWrap/>
          </w:tcPr>
          <w:p w14:paraId="6E7F6A5E" w14:textId="5AB11995"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Paraguay</w:t>
            </w:r>
          </w:p>
        </w:tc>
        <w:tc>
          <w:tcPr>
            <w:tcW w:w="1418" w:type="dxa"/>
            <w:noWrap/>
          </w:tcPr>
          <w:p w14:paraId="29209176" w14:textId="77777777"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BEB (12m)</w:t>
            </w:r>
          </w:p>
        </w:tc>
        <w:tc>
          <w:tcPr>
            <w:tcW w:w="992" w:type="dxa"/>
            <w:noWrap/>
          </w:tcPr>
          <w:p w14:paraId="61791257" w14:textId="18DF8577" w:rsidR="00624C3A" w:rsidRPr="00102605" w:rsidRDefault="00335017" w:rsidP="000739C8">
            <w:pPr>
              <w:keepNext/>
              <w:jc w:val="center"/>
              <w:rPr>
                <w:rFonts w:cs="Arial"/>
                <w:color w:val="000000"/>
                <w:sz w:val="18"/>
                <w:szCs w:val="18"/>
                <w:lang w:val="en-GB"/>
              </w:rPr>
            </w:pPr>
            <w:r w:rsidRPr="00102605">
              <w:rPr>
                <w:rFonts w:cs="Arial"/>
                <w:color w:val="000000"/>
                <w:sz w:val="18"/>
                <w:szCs w:val="18"/>
                <w:lang w:val="en-GB"/>
              </w:rPr>
              <w:t>300</w:t>
            </w:r>
          </w:p>
        </w:tc>
        <w:tc>
          <w:tcPr>
            <w:tcW w:w="2723" w:type="dxa"/>
          </w:tcPr>
          <w:p w14:paraId="7CC16F77" w14:textId="77777777" w:rsidR="00624C3A" w:rsidRPr="00EF47DA" w:rsidRDefault="00624C3A" w:rsidP="000739C8">
            <w:pPr>
              <w:keepNext/>
              <w:jc w:val="left"/>
              <w:rPr>
                <w:rFonts w:cs="Arial"/>
                <w:color w:val="000000"/>
                <w:sz w:val="18"/>
                <w:szCs w:val="18"/>
                <w:lang w:val="es-AR"/>
              </w:rPr>
            </w:pPr>
            <w:r w:rsidRPr="00EF47DA">
              <w:rPr>
                <w:rFonts w:cs="Arial"/>
                <w:color w:val="000000"/>
                <w:sz w:val="18"/>
                <w:szCs w:val="18"/>
                <w:lang w:val="es-AR"/>
              </w:rPr>
              <w:t>Ministerio de Hacienda (MH) and Banco Nacional de Fomento (BNF)</w:t>
            </w:r>
          </w:p>
        </w:tc>
        <w:tc>
          <w:tcPr>
            <w:tcW w:w="3231" w:type="dxa"/>
          </w:tcPr>
          <w:p w14:paraId="23DE1C99" w14:textId="77777777" w:rsidR="00624C3A" w:rsidRPr="00102605" w:rsidRDefault="00624C3A" w:rsidP="000739C8">
            <w:pPr>
              <w:keepNext/>
              <w:jc w:val="left"/>
              <w:rPr>
                <w:rFonts w:cs="Arial"/>
                <w:color w:val="000000"/>
                <w:sz w:val="18"/>
                <w:szCs w:val="18"/>
                <w:lang w:val="en-GB"/>
              </w:rPr>
            </w:pPr>
            <w:r w:rsidRPr="00102605">
              <w:rPr>
                <w:rFonts w:cs="Arial"/>
                <w:color w:val="000000"/>
                <w:sz w:val="18"/>
                <w:szCs w:val="18"/>
                <w:lang w:val="en-GB"/>
              </w:rPr>
              <w:t>MH deals with subsidy to operators, BNF deals concessional Loan to private bus operators (bus and depot electrification).</w:t>
            </w:r>
          </w:p>
        </w:tc>
      </w:tr>
      <w:tr w:rsidR="00624C3A" w:rsidRPr="00102605" w14:paraId="3030B32D" w14:textId="77777777" w:rsidTr="00873187">
        <w:trPr>
          <w:trHeight w:val="808"/>
        </w:trPr>
        <w:tc>
          <w:tcPr>
            <w:tcW w:w="1021" w:type="dxa"/>
            <w:noWrap/>
          </w:tcPr>
          <w:p w14:paraId="497AC42C" w14:textId="77777777"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Uruguay</w:t>
            </w:r>
          </w:p>
        </w:tc>
        <w:tc>
          <w:tcPr>
            <w:tcW w:w="1418" w:type="dxa"/>
            <w:noWrap/>
          </w:tcPr>
          <w:p w14:paraId="05C4A7A0" w14:textId="77777777" w:rsidR="00624C3A" w:rsidRPr="00102605" w:rsidRDefault="00624C3A" w:rsidP="000739C8">
            <w:pPr>
              <w:keepNext/>
              <w:rPr>
                <w:rFonts w:cs="Arial"/>
                <w:color w:val="000000"/>
                <w:sz w:val="18"/>
                <w:szCs w:val="18"/>
                <w:lang w:val="en-GB"/>
              </w:rPr>
            </w:pPr>
            <w:r w:rsidRPr="00102605">
              <w:rPr>
                <w:rFonts w:cs="Arial"/>
                <w:color w:val="000000"/>
                <w:sz w:val="18"/>
                <w:szCs w:val="18"/>
                <w:lang w:val="en-GB"/>
              </w:rPr>
              <w:t>BEB (12m)</w:t>
            </w:r>
          </w:p>
        </w:tc>
        <w:tc>
          <w:tcPr>
            <w:tcW w:w="992" w:type="dxa"/>
            <w:noWrap/>
          </w:tcPr>
          <w:p w14:paraId="645F5E38" w14:textId="77777777" w:rsidR="00624C3A" w:rsidRPr="00102605" w:rsidRDefault="00624C3A" w:rsidP="000739C8">
            <w:pPr>
              <w:keepNext/>
              <w:jc w:val="center"/>
              <w:rPr>
                <w:rFonts w:cs="Arial"/>
                <w:color w:val="000000"/>
                <w:sz w:val="18"/>
                <w:szCs w:val="18"/>
                <w:lang w:val="en-GB"/>
              </w:rPr>
            </w:pPr>
            <w:r w:rsidRPr="00102605">
              <w:rPr>
                <w:rFonts w:cs="Arial"/>
                <w:color w:val="000000"/>
                <w:sz w:val="18"/>
                <w:szCs w:val="18"/>
                <w:lang w:val="en-GB"/>
              </w:rPr>
              <w:t>200</w:t>
            </w:r>
          </w:p>
        </w:tc>
        <w:tc>
          <w:tcPr>
            <w:tcW w:w="2723" w:type="dxa"/>
          </w:tcPr>
          <w:p w14:paraId="39AE73EB" w14:textId="77777777" w:rsidR="00624C3A" w:rsidRPr="00EF47DA" w:rsidRDefault="00624C3A" w:rsidP="000739C8">
            <w:pPr>
              <w:keepNext/>
              <w:jc w:val="left"/>
              <w:rPr>
                <w:rFonts w:cs="Arial"/>
                <w:color w:val="000000"/>
                <w:sz w:val="18"/>
                <w:szCs w:val="18"/>
                <w:lang w:val="es-AR"/>
              </w:rPr>
            </w:pPr>
            <w:r w:rsidRPr="00EF47DA">
              <w:rPr>
                <w:rFonts w:cs="Arial"/>
                <w:color w:val="000000"/>
                <w:sz w:val="18"/>
                <w:szCs w:val="18"/>
                <w:lang w:val="es-AR"/>
              </w:rPr>
              <w:t>Ministerio de Economía y Finanzas (MEF) and Banco República Uruguay (BROU)</w:t>
            </w:r>
          </w:p>
        </w:tc>
        <w:tc>
          <w:tcPr>
            <w:tcW w:w="3231" w:type="dxa"/>
          </w:tcPr>
          <w:p w14:paraId="74A1D596" w14:textId="77777777" w:rsidR="00624C3A" w:rsidRPr="00102605" w:rsidRDefault="00624C3A" w:rsidP="000739C8">
            <w:pPr>
              <w:keepNext/>
              <w:jc w:val="left"/>
              <w:rPr>
                <w:rFonts w:cs="Arial"/>
                <w:color w:val="000000"/>
                <w:sz w:val="18"/>
                <w:szCs w:val="18"/>
                <w:lang w:val="en-GB"/>
              </w:rPr>
            </w:pPr>
            <w:r w:rsidRPr="00102605">
              <w:rPr>
                <w:rFonts w:cs="Arial"/>
                <w:color w:val="000000"/>
                <w:sz w:val="18"/>
                <w:szCs w:val="18"/>
                <w:lang w:val="en-GB"/>
              </w:rPr>
              <w:t xml:space="preserve">MEF deals with subsidy to operators </w:t>
            </w:r>
          </w:p>
          <w:p w14:paraId="7F8BC5D0" w14:textId="77777777" w:rsidR="00624C3A" w:rsidRPr="00102605" w:rsidRDefault="00624C3A" w:rsidP="000739C8">
            <w:pPr>
              <w:keepNext/>
              <w:jc w:val="left"/>
              <w:rPr>
                <w:rFonts w:cs="Arial"/>
                <w:color w:val="000000"/>
                <w:sz w:val="18"/>
                <w:szCs w:val="18"/>
                <w:lang w:val="en-GB"/>
              </w:rPr>
            </w:pPr>
            <w:r w:rsidRPr="00102605">
              <w:rPr>
                <w:rFonts w:cs="Arial"/>
                <w:color w:val="000000"/>
                <w:sz w:val="18"/>
                <w:szCs w:val="18"/>
                <w:lang w:val="en-GB"/>
              </w:rPr>
              <w:t>BROU deals concessional loans to private bus operators (bus and depot electrification).</w:t>
            </w:r>
          </w:p>
        </w:tc>
      </w:tr>
    </w:tbl>
    <w:p w14:paraId="5BDC5BC7" w14:textId="7411A397" w:rsidR="00BB3396" w:rsidRDefault="00BB3396" w:rsidP="00D07B6F">
      <w:pPr>
        <w:spacing w:after="0" w:line="240" w:lineRule="auto"/>
        <w:jc w:val="center"/>
        <w:rPr>
          <w:i/>
          <w:iCs/>
          <w:sz w:val="20"/>
          <w:szCs w:val="20"/>
        </w:rPr>
      </w:pPr>
      <w:r w:rsidRPr="00D07B6F">
        <w:rPr>
          <w:i/>
          <w:iCs/>
          <w:sz w:val="20"/>
          <w:szCs w:val="20"/>
        </w:rPr>
        <w:t xml:space="preserve">Source: Annex 2 of CAF </w:t>
      </w:r>
      <w:r w:rsidR="002E6F78" w:rsidRPr="00D07B6F">
        <w:rPr>
          <w:i/>
          <w:iCs/>
          <w:sz w:val="20"/>
          <w:szCs w:val="20"/>
        </w:rPr>
        <w:t>“</w:t>
      </w:r>
      <w:r w:rsidRPr="00D07B6F">
        <w:rPr>
          <w:i/>
          <w:iCs/>
          <w:sz w:val="20"/>
          <w:szCs w:val="20"/>
        </w:rPr>
        <w:t>E-Motion</w:t>
      </w:r>
      <w:r w:rsidR="002E6F78" w:rsidRPr="00D07B6F">
        <w:rPr>
          <w:i/>
          <w:iCs/>
          <w:sz w:val="20"/>
          <w:szCs w:val="20"/>
        </w:rPr>
        <w:t>: E-Mobility and Low Carbon Transportation”</w:t>
      </w:r>
      <w:r w:rsidRPr="00D07B6F">
        <w:rPr>
          <w:i/>
          <w:iCs/>
          <w:sz w:val="20"/>
          <w:szCs w:val="20"/>
        </w:rPr>
        <w:t xml:space="preserve"> GCF Funding Proposal</w:t>
      </w:r>
    </w:p>
    <w:p w14:paraId="711EB206" w14:textId="77777777" w:rsidR="002061DF" w:rsidRDefault="002061DF" w:rsidP="00857127"/>
    <w:p w14:paraId="4EF37B8E" w14:textId="6EFC2ED1" w:rsidR="002061DF" w:rsidRDefault="00FB04AA" w:rsidP="00FB04AA">
      <w:bookmarkStart w:id="5" w:name="_Ref113612894"/>
      <w:r>
        <w:t xml:space="preserve">Table </w:t>
      </w:r>
      <w:r w:rsidR="00203008">
        <w:fldChar w:fldCharType="begin"/>
      </w:r>
      <w:r w:rsidR="00203008">
        <w:instrText xml:space="preserve"> SEQ Table \* ARABIC </w:instrText>
      </w:r>
      <w:r w:rsidR="00203008">
        <w:fldChar w:fldCharType="separate"/>
      </w:r>
      <w:r w:rsidR="00072B3C">
        <w:rPr>
          <w:noProof/>
        </w:rPr>
        <w:t>2</w:t>
      </w:r>
      <w:r w:rsidR="00203008">
        <w:rPr>
          <w:noProof/>
        </w:rPr>
        <w:fldChar w:fldCharType="end"/>
      </w:r>
      <w:bookmarkEnd w:id="5"/>
      <w:r>
        <w:t>: Indicative e-bus sub-projects to be financed</w:t>
      </w:r>
    </w:p>
    <w:tbl>
      <w:tblPr>
        <w:tblStyle w:val="Tablaconcuadrcula"/>
        <w:tblW w:w="9493" w:type="dxa"/>
        <w:tblLayout w:type="fixed"/>
        <w:tblLook w:val="04A0" w:firstRow="1" w:lastRow="0" w:firstColumn="1" w:lastColumn="0" w:noHBand="0" w:noVBand="1"/>
      </w:tblPr>
      <w:tblGrid>
        <w:gridCol w:w="2122"/>
        <w:gridCol w:w="985"/>
        <w:gridCol w:w="1170"/>
        <w:gridCol w:w="1170"/>
        <w:gridCol w:w="1170"/>
        <w:gridCol w:w="1173"/>
        <w:gridCol w:w="1703"/>
      </w:tblGrid>
      <w:tr w:rsidR="00BF411D" w:rsidRPr="003629C7" w14:paraId="0C249744" w14:textId="77777777" w:rsidTr="00471096">
        <w:trPr>
          <w:trHeight w:val="354"/>
        </w:trPr>
        <w:tc>
          <w:tcPr>
            <w:tcW w:w="1118" w:type="pct"/>
            <w:vMerge w:val="restart"/>
            <w:shd w:val="clear" w:color="auto" w:fill="D9E2F3" w:themeFill="accent1" w:themeFillTint="33"/>
          </w:tcPr>
          <w:p w14:paraId="6D580D5D" w14:textId="77777777" w:rsidR="00BF411D" w:rsidRPr="00EF24AD" w:rsidRDefault="00BF411D" w:rsidP="00BF411D">
            <w:pPr>
              <w:pStyle w:val="Sinespaciado1"/>
              <w:jc w:val="left"/>
              <w:rPr>
                <w:rFonts w:ascii="Arial" w:hAnsi="Arial" w:cs="Arial"/>
                <w:b/>
                <w:bCs/>
                <w:sz w:val="18"/>
                <w:szCs w:val="18"/>
              </w:rPr>
            </w:pPr>
            <w:r w:rsidRPr="00EF24AD">
              <w:rPr>
                <w:rFonts w:ascii="Arial" w:hAnsi="Arial" w:cs="Arial"/>
                <w:b/>
                <w:bCs/>
                <w:sz w:val="18"/>
                <w:szCs w:val="18"/>
              </w:rPr>
              <w:t>Country, city</w:t>
            </w:r>
          </w:p>
        </w:tc>
        <w:tc>
          <w:tcPr>
            <w:tcW w:w="519" w:type="pct"/>
            <w:vMerge w:val="restart"/>
            <w:shd w:val="clear" w:color="auto" w:fill="D9E2F3" w:themeFill="accent1" w:themeFillTint="33"/>
          </w:tcPr>
          <w:p w14:paraId="6605901C" w14:textId="77777777" w:rsidR="00BF411D" w:rsidRDefault="00BF411D" w:rsidP="00BF411D">
            <w:pPr>
              <w:pStyle w:val="Sinespaciado1"/>
              <w:jc w:val="center"/>
              <w:rPr>
                <w:rFonts w:ascii="Arial" w:hAnsi="Arial" w:cs="Arial"/>
                <w:b/>
                <w:bCs/>
                <w:sz w:val="18"/>
                <w:szCs w:val="18"/>
              </w:rPr>
            </w:pPr>
            <w:r w:rsidRPr="00EF24AD">
              <w:rPr>
                <w:rFonts w:ascii="Arial" w:hAnsi="Arial" w:cs="Arial"/>
                <w:b/>
                <w:bCs/>
                <w:sz w:val="18"/>
                <w:szCs w:val="18"/>
              </w:rPr>
              <w:t xml:space="preserve">Program e-buses </w:t>
            </w:r>
          </w:p>
          <w:p w14:paraId="7E766E97"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(12 m)</w:t>
            </w:r>
          </w:p>
        </w:tc>
        <w:tc>
          <w:tcPr>
            <w:tcW w:w="3363" w:type="pct"/>
            <w:gridSpan w:val="5"/>
            <w:shd w:val="clear" w:color="auto" w:fill="D9E2F3" w:themeFill="accent1" w:themeFillTint="33"/>
          </w:tcPr>
          <w:p w14:paraId="207D90B1"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CAPEX Finance in USD million of Program Buses</w:t>
            </w:r>
          </w:p>
        </w:tc>
      </w:tr>
      <w:tr w:rsidR="008B76E8" w:rsidRPr="003629C7" w14:paraId="4E31E8D5" w14:textId="77777777" w:rsidTr="00471096">
        <w:trPr>
          <w:trHeight w:val="658"/>
        </w:trPr>
        <w:tc>
          <w:tcPr>
            <w:tcW w:w="1118" w:type="pct"/>
            <w:vMerge/>
          </w:tcPr>
          <w:p w14:paraId="72CBD1AF" w14:textId="77777777" w:rsidR="00BF411D" w:rsidRPr="00EF24AD" w:rsidRDefault="00BF411D" w:rsidP="00BF411D">
            <w:pPr>
              <w:pStyle w:val="Sinespaciado1"/>
              <w:rPr>
                <w:rFonts w:ascii="Arial" w:hAnsi="Arial" w:cs="Arial"/>
                <w:b/>
                <w:bCs/>
                <w:sz w:val="18"/>
                <w:szCs w:val="18"/>
              </w:rPr>
            </w:pPr>
          </w:p>
        </w:tc>
        <w:tc>
          <w:tcPr>
            <w:tcW w:w="519" w:type="pct"/>
            <w:vMerge/>
          </w:tcPr>
          <w:p w14:paraId="10381971" w14:textId="77777777" w:rsidR="00BF411D" w:rsidRPr="00EF24AD" w:rsidRDefault="00BF411D" w:rsidP="00BF411D">
            <w:pPr>
              <w:pStyle w:val="Sinespaciado1"/>
              <w:rPr>
                <w:rFonts w:ascii="Arial" w:hAnsi="Arial" w:cs="Arial"/>
                <w:b/>
                <w:bCs/>
                <w:sz w:val="18"/>
                <w:szCs w:val="18"/>
              </w:rPr>
            </w:pPr>
          </w:p>
        </w:tc>
        <w:tc>
          <w:tcPr>
            <w:tcW w:w="616" w:type="pct"/>
            <w:shd w:val="clear" w:color="auto" w:fill="D9E2F3" w:themeFill="accent1" w:themeFillTint="33"/>
          </w:tcPr>
          <w:p w14:paraId="5334C90F"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Total CAPEX</w:t>
            </w:r>
          </w:p>
        </w:tc>
        <w:tc>
          <w:tcPr>
            <w:tcW w:w="616" w:type="pct"/>
            <w:shd w:val="clear" w:color="auto" w:fill="D9E2F3" w:themeFill="accent1" w:themeFillTint="33"/>
          </w:tcPr>
          <w:p w14:paraId="2B122974"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GCF loan</w:t>
            </w:r>
          </w:p>
        </w:tc>
        <w:tc>
          <w:tcPr>
            <w:tcW w:w="616" w:type="pct"/>
            <w:shd w:val="clear" w:color="auto" w:fill="D9E2F3" w:themeFill="accent1" w:themeFillTint="33"/>
          </w:tcPr>
          <w:p w14:paraId="72CD1B48"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CAF</w:t>
            </w:r>
          </w:p>
        </w:tc>
        <w:tc>
          <w:tcPr>
            <w:tcW w:w="618" w:type="pct"/>
            <w:shd w:val="clear" w:color="auto" w:fill="D9E2F3" w:themeFill="accent1" w:themeFillTint="33"/>
          </w:tcPr>
          <w:p w14:paraId="419C98AF"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National finance / equity</w:t>
            </w:r>
          </w:p>
        </w:tc>
        <w:tc>
          <w:tcPr>
            <w:tcW w:w="896" w:type="pct"/>
            <w:shd w:val="clear" w:color="auto" w:fill="D9E2F3" w:themeFill="accent1" w:themeFillTint="33"/>
          </w:tcPr>
          <w:p w14:paraId="2F9A5169"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Transport Operator</w:t>
            </w:r>
          </w:p>
        </w:tc>
      </w:tr>
      <w:tr w:rsidR="008B76E8" w:rsidRPr="003629C7" w14:paraId="2B9AD4D6" w14:textId="77777777" w:rsidTr="00156FCF">
        <w:trPr>
          <w:trHeight w:val="271"/>
        </w:trPr>
        <w:tc>
          <w:tcPr>
            <w:tcW w:w="1118" w:type="pct"/>
          </w:tcPr>
          <w:p w14:paraId="6BBE1C5A"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Panama, Panama City</w:t>
            </w:r>
          </w:p>
        </w:tc>
        <w:tc>
          <w:tcPr>
            <w:tcW w:w="519" w:type="pct"/>
          </w:tcPr>
          <w:p w14:paraId="775294E4"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130</w:t>
            </w:r>
          </w:p>
        </w:tc>
        <w:tc>
          <w:tcPr>
            <w:tcW w:w="616" w:type="pct"/>
          </w:tcPr>
          <w:p w14:paraId="3626D3C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38.6</w:t>
            </w:r>
          </w:p>
        </w:tc>
        <w:tc>
          <w:tcPr>
            <w:tcW w:w="616" w:type="pct"/>
          </w:tcPr>
          <w:p w14:paraId="0A9686BB"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12.1</w:t>
            </w:r>
          </w:p>
        </w:tc>
        <w:tc>
          <w:tcPr>
            <w:tcW w:w="616" w:type="pct"/>
          </w:tcPr>
          <w:p w14:paraId="4BBB71D3"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22.6</w:t>
            </w:r>
          </w:p>
        </w:tc>
        <w:tc>
          <w:tcPr>
            <w:tcW w:w="618" w:type="pct"/>
          </w:tcPr>
          <w:p w14:paraId="710A86D6"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3.9</w:t>
            </w:r>
          </w:p>
        </w:tc>
        <w:tc>
          <w:tcPr>
            <w:tcW w:w="896" w:type="pct"/>
          </w:tcPr>
          <w:p w14:paraId="3BE3C21E"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MiBus</w:t>
            </w:r>
          </w:p>
        </w:tc>
      </w:tr>
      <w:tr w:rsidR="008B76E8" w:rsidRPr="003629C7" w14:paraId="157D3600" w14:textId="77777777" w:rsidTr="00156FCF">
        <w:trPr>
          <w:trHeight w:val="277"/>
        </w:trPr>
        <w:tc>
          <w:tcPr>
            <w:tcW w:w="1118" w:type="pct"/>
          </w:tcPr>
          <w:p w14:paraId="6DE3EAB5"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Panama, Santiago City</w:t>
            </w:r>
          </w:p>
        </w:tc>
        <w:tc>
          <w:tcPr>
            <w:tcW w:w="519" w:type="pct"/>
          </w:tcPr>
          <w:p w14:paraId="5BB02135"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20</w:t>
            </w:r>
          </w:p>
        </w:tc>
        <w:tc>
          <w:tcPr>
            <w:tcW w:w="616" w:type="pct"/>
          </w:tcPr>
          <w:p w14:paraId="0EF6C70C"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5.9</w:t>
            </w:r>
          </w:p>
        </w:tc>
        <w:tc>
          <w:tcPr>
            <w:tcW w:w="616" w:type="pct"/>
          </w:tcPr>
          <w:p w14:paraId="2C3ED434"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1.8</w:t>
            </w:r>
          </w:p>
        </w:tc>
        <w:tc>
          <w:tcPr>
            <w:tcW w:w="616" w:type="pct"/>
          </w:tcPr>
          <w:p w14:paraId="015F9541"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3.5</w:t>
            </w:r>
          </w:p>
        </w:tc>
        <w:tc>
          <w:tcPr>
            <w:tcW w:w="618" w:type="pct"/>
          </w:tcPr>
          <w:p w14:paraId="4AED813B"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0.6</w:t>
            </w:r>
          </w:p>
        </w:tc>
        <w:tc>
          <w:tcPr>
            <w:tcW w:w="896" w:type="pct"/>
          </w:tcPr>
          <w:p w14:paraId="14838B21"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Utrapsa</w:t>
            </w:r>
          </w:p>
        </w:tc>
      </w:tr>
      <w:tr w:rsidR="008B76E8" w:rsidRPr="003629C7" w14:paraId="32D3423C" w14:textId="77777777" w:rsidTr="00471096">
        <w:trPr>
          <w:trHeight w:val="408"/>
        </w:trPr>
        <w:tc>
          <w:tcPr>
            <w:tcW w:w="1118" w:type="pct"/>
          </w:tcPr>
          <w:p w14:paraId="7F8D5CA3"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Paraguay, Asunción</w:t>
            </w:r>
          </w:p>
        </w:tc>
        <w:tc>
          <w:tcPr>
            <w:tcW w:w="519" w:type="pct"/>
          </w:tcPr>
          <w:p w14:paraId="6D27D3B8"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23</w:t>
            </w:r>
          </w:p>
        </w:tc>
        <w:tc>
          <w:tcPr>
            <w:tcW w:w="616" w:type="pct"/>
          </w:tcPr>
          <w:p w14:paraId="2BF23973"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6.3</w:t>
            </w:r>
          </w:p>
        </w:tc>
        <w:tc>
          <w:tcPr>
            <w:tcW w:w="616" w:type="pct"/>
          </w:tcPr>
          <w:p w14:paraId="0692B125"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w:t>
            </w:r>
          </w:p>
        </w:tc>
        <w:tc>
          <w:tcPr>
            <w:tcW w:w="616" w:type="pct"/>
          </w:tcPr>
          <w:p w14:paraId="44A28D0B"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3.7</w:t>
            </w:r>
          </w:p>
        </w:tc>
        <w:tc>
          <w:tcPr>
            <w:tcW w:w="618" w:type="pct"/>
          </w:tcPr>
          <w:p w14:paraId="2B09A61B"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0.6</w:t>
            </w:r>
          </w:p>
        </w:tc>
        <w:tc>
          <w:tcPr>
            <w:tcW w:w="896" w:type="pct"/>
          </w:tcPr>
          <w:p w14:paraId="2C361BBF"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Municipality of Asuncion</w:t>
            </w:r>
          </w:p>
        </w:tc>
      </w:tr>
      <w:tr w:rsidR="008B76E8" w:rsidRPr="003629C7" w14:paraId="776493FA" w14:textId="77777777" w:rsidTr="00156FCF">
        <w:trPr>
          <w:trHeight w:val="274"/>
        </w:trPr>
        <w:tc>
          <w:tcPr>
            <w:tcW w:w="1118" w:type="pct"/>
          </w:tcPr>
          <w:p w14:paraId="6DA0B516"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Paraguay, Asunción</w:t>
            </w:r>
          </w:p>
        </w:tc>
        <w:tc>
          <w:tcPr>
            <w:tcW w:w="519" w:type="pct"/>
          </w:tcPr>
          <w:p w14:paraId="494FFD29"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77</w:t>
            </w:r>
          </w:p>
        </w:tc>
        <w:tc>
          <w:tcPr>
            <w:tcW w:w="616" w:type="pct"/>
          </w:tcPr>
          <w:p w14:paraId="1CAFE497"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21.2</w:t>
            </w:r>
          </w:p>
        </w:tc>
        <w:tc>
          <w:tcPr>
            <w:tcW w:w="616" w:type="pct"/>
          </w:tcPr>
          <w:p w14:paraId="22E12E67"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6.7</w:t>
            </w:r>
          </w:p>
        </w:tc>
        <w:tc>
          <w:tcPr>
            <w:tcW w:w="616" w:type="pct"/>
          </w:tcPr>
          <w:p w14:paraId="33BDEC14"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12.4</w:t>
            </w:r>
          </w:p>
        </w:tc>
        <w:tc>
          <w:tcPr>
            <w:tcW w:w="618" w:type="pct"/>
          </w:tcPr>
          <w:p w14:paraId="181679C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2.1</w:t>
            </w:r>
          </w:p>
        </w:tc>
        <w:tc>
          <w:tcPr>
            <w:tcW w:w="896" w:type="pct"/>
          </w:tcPr>
          <w:p w14:paraId="3149CDB0"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MAGNO</w:t>
            </w:r>
          </w:p>
        </w:tc>
      </w:tr>
      <w:tr w:rsidR="008B76E8" w:rsidRPr="003629C7" w14:paraId="1955ECD4" w14:textId="77777777" w:rsidTr="00156FCF">
        <w:trPr>
          <w:trHeight w:val="265"/>
        </w:trPr>
        <w:tc>
          <w:tcPr>
            <w:tcW w:w="1118" w:type="pct"/>
          </w:tcPr>
          <w:p w14:paraId="688DE31E"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Paraguay, Asunción</w:t>
            </w:r>
          </w:p>
        </w:tc>
        <w:tc>
          <w:tcPr>
            <w:tcW w:w="519" w:type="pct"/>
          </w:tcPr>
          <w:p w14:paraId="264ED52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200</w:t>
            </w:r>
          </w:p>
        </w:tc>
        <w:tc>
          <w:tcPr>
            <w:tcW w:w="616" w:type="pct"/>
          </w:tcPr>
          <w:p w14:paraId="39534E05"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55.1</w:t>
            </w:r>
          </w:p>
        </w:tc>
        <w:tc>
          <w:tcPr>
            <w:tcW w:w="616" w:type="pct"/>
          </w:tcPr>
          <w:p w14:paraId="4BE4F965"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17.4</w:t>
            </w:r>
          </w:p>
        </w:tc>
        <w:tc>
          <w:tcPr>
            <w:tcW w:w="616" w:type="pct"/>
          </w:tcPr>
          <w:p w14:paraId="2A4080E4"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32.2</w:t>
            </w:r>
          </w:p>
        </w:tc>
        <w:tc>
          <w:tcPr>
            <w:tcW w:w="618" w:type="pct"/>
          </w:tcPr>
          <w:p w14:paraId="079D859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5.5</w:t>
            </w:r>
          </w:p>
        </w:tc>
        <w:tc>
          <w:tcPr>
            <w:tcW w:w="896" w:type="pct"/>
          </w:tcPr>
          <w:p w14:paraId="4119E43E"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CETRAPAM</w:t>
            </w:r>
          </w:p>
        </w:tc>
      </w:tr>
      <w:tr w:rsidR="008B76E8" w:rsidRPr="003629C7" w14:paraId="675EE0C8" w14:textId="77777777" w:rsidTr="00471096">
        <w:trPr>
          <w:trHeight w:val="826"/>
        </w:trPr>
        <w:tc>
          <w:tcPr>
            <w:tcW w:w="1118" w:type="pct"/>
          </w:tcPr>
          <w:p w14:paraId="106B2D60" w14:textId="77777777" w:rsidR="00BF411D" w:rsidRPr="00EF24AD" w:rsidRDefault="00BF411D" w:rsidP="00BF411D">
            <w:pPr>
              <w:pStyle w:val="Sinespaciado1"/>
              <w:jc w:val="left"/>
              <w:rPr>
                <w:rFonts w:ascii="Arial" w:hAnsi="Arial" w:cs="Arial"/>
                <w:sz w:val="18"/>
                <w:szCs w:val="18"/>
              </w:rPr>
            </w:pPr>
            <w:r w:rsidRPr="00EF24AD">
              <w:rPr>
                <w:rFonts w:ascii="Arial" w:hAnsi="Arial" w:cs="Arial"/>
                <w:sz w:val="18"/>
                <w:szCs w:val="18"/>
              </w:rPr>
              <w:t>Uruguay, Montevideo</w:t>
            </w:r>
          </w:p>
        </w:tc>
        <w:tc>
          <w:tcPr>
            <w:tcW w:w="519" w:type="pct"/>
          </w:tcPr>
          <w:p w14:paraId="7AB883BA"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200</w:t>
            </w:r>
          </w:p>
        </w:tc>
        <w:tc>
          <w:tcPr>
            <w:tcW w:w="616" w:type="pct"/>
          </w:tcPr>
          <w:p w14:paraId="13A27E3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40.8</w:t>
            </w:r>
          </w:p>
        </w:tc>
        <w:tc>
          <w:tcPr>
            <w:tcW w:w="616" w:type="pct"/>
          </w:tcPr>
          <w:p w14:paraId="5BCFEEF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12.8</w:t>
            </w:r>
          </w:p>
        </w:tc>
        <w:tc>
          <w:tcPr>
            <w:tcW w:w="616" w:type="pct"/>
          </w:tcPr>
          <w:p w14:paraId="530EAF40"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23.9</w:t>
            </w:r>
          </w:p>
        </w:tc>
        <w:tc>
          <w:tcPr>
            <w:tcW w:w="618" w:type="pct"/>
          </w:tcPr>
          <w:p w14:paraId="75661552"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4.1</w:t>
            </w:r>
          </w:p>
        </w:tc>
        <w:tc>
          <w:tcPr>
            <w:tcW w:w="896" w:type="pct"/>
          </w:tcPr>
          <w:p w14:paraId="684CDA48" w14:textId="77777777" w:rsidR="00BF411D" w:rsidRPr="00EF24AD" w:rsidRDefault="00BF411D" w:rsidP="00BF411D">
            <w:pPr>
              <w:pStyle w:val="Sinespaciado1"/>
              <w:jc w:val="center"/>
              <w:rPr>
                <w:rFonts w:ascii="Arial" w:hAnsi="Arial" w:cs="Arial"/>
                <w:sz w:val="18"/>
                <w:szCs w:val="18"/>
              </w:rPr>
            </w:pPr>
            <w:r w:rsidRPr="00EF24AD">
              <w:rPr>
                <w:rFonts w:ascii="Arial" w:hAnsi="Arial" w:cs="Arial"/>
                <w:sz w:val="18"/>
                <w:szCs w:val="18"/>
              </w:rPr>
              <w:t>CUTCSA. COETC, UTOC, COME, CODELESTE</w:t>
            </w:r>
          </w:p>
        </w:tc>
      </w:tr>
      <w:tr w:rsidR="008B76E8" w:rsidRPr="003629C7" w14:paraId="7026C4AE" w14:textId="77777777" w:rsidTr="00471096">
        <w:trPr>
          <w:trHeight w:val="378"/>
        </w:trPr>
        <w:tc>
          <w:tcPr>
            <w:tcW w:w="1118" w:type="pct"/>
          </w:tcPr>
          <w:p w14:paraId="3DE256B0"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TOTAL</w:t>
            </w:r>
          </w:p>
        </w:tc>
        <w:tc>
          <w:tcPr>
            <w:tcW w:w="519" w:type="pct"/>
          </w:tcPr>
          <w:p w14:paraId="2F246558"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650</w:t>
            </w:r>
          </w:p>
        </w:tc>
        <w:tc>
          <w:tcPr>
            <w:tcW w:w="616" w:type="pct"/>
          </w:tcPr>
          <w:p w14:paraId="2250BEC8"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168.2</w:t>
            </w:r>
          </w:p>
        </w:tc>
        <w:tc>
          <w:tcPr>
            <w:tcW w:w="616" w:type="pct"/>
          </w:tcPr>
          <w:p w14:paraId="0EB3C205"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53</w:t>
            </w:r>
          </w:p>
        </w:tc>
        <w:tc>
          <w:tcPr>
            <w:tcW w:w="616" w:type="pct"/>
          </w:tcPr>
          <w:p w14:paraId="2126F89C"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98.4</w:t>
            </w:r>
          </w:p>
        </w:tc>
        <w:tc>
          <w:tcPr>
            <w:tcW w:w="618" w:type="pct"/>
          </w:tcPr>
          <w:p w14:paraId="6F1C3463" w14:textId="77777777" w:rsidR="00BF411D" w:rsidRPr="00EF24AD" w:rsidRDefault="00BF411D" w:rsidP="00BF411D">
            <w:pPr>
              <w:pStyle w:val="Sinespaciado1"/>
              <w:jc w:val="center"/>
              <w:rPr>
                <w:rFonts w:ascii="Arial" w:hAnsi="Arial" w:cs="Arial"/>
                <w:b/>
                <w:bCs/>
                <w:sz w:val="18"/>
                <w:szCs w:val="18"/>
              </w:rPr>
            </w:pPr>
            <w:r w:rsidRPr="00EF24AD">
              <w:rPr>
                <w:rFonts w:ascii="Arial" w:hAnsi="Arial" w:cs="Arial"/>
                <w:b/>
                <w:bCs/>
                <w:sz w:val="18"/>
                <w:szCs w:val="18"/>
              </w:rPr>
              <w:t>16.8</w:t>
            </w:r>
          </w:p>
        </w:tc>
        <w:tc>
          <w:tcPr>
            <w:tcW w:w="896" w:type="pct"/>
          </w:tcPr>
          <w:p w14:paraId="2812B141" w14:textId="77777777" w:rsidR="00BF411D" w:rsidRPr="00EF24AD" w:rsidRDefault="00BF411D" w:rsidP="00BF411D">
            <w:pPr>
              <w:pStyle w:val="Sinespaciado1"/>
              <w:jc w:val="center"/>
              <w:rPr>
                <w:rFonts w:ascii="Arial" w:hAnsi="Arial" w:cs="Arial"/>
                <w:b/>
                <w:bCs/>
                <w:sz w:val="18"/>
                <w:szCs w:val="18"/>
              </w:rPr>
            </w:pPr>
          </w:p>
        </w:tc>
      </w:tr>
    </w:tbl>
    <w:p w14:paraId="4BF2F272" w14:textId="77777777" w:rsidR="008B76E8" w:rsidRDefault="008B76E8" w:rsidP="008B76E8">
      <w:pPr>
        <w:spacing w:after="0" w:line="240" w:lineRule="auto"/>
        <w:jc w:val="center"/>
        <w:rPr>
          <w:i/>
          <w:iCs/>
          <w:sz w:val="20"/>
          <w:szCs w:val="20"/>
        </w:rPr>
      </w:pPr>
      <w:r w:rsidRPr="00D07B6F">
        <w:rPr>
          <w:i/>
          <w:iCs/>
          <w:sz w:val="20"/>
          <w:szCs w:val="20"/>
        </w:rPr>
        <w:t>Source: Annex 2 of CAF “E-Motion: E-Mobility and Low Carbon Transportation” GCF Funding Proposal</w:t>
      </w:r>
    </w:p>
    <w:p w14:paraId="37A6AEBA" w14:textId="77777777" w:rsidR="004D600D" w:rsidRDefault="00C524AB" w:rsidP="00D07B6F">
      <w:pPr>
        <w:spacing w:after="0" w:line="240" w:lineRule="auto"/>
        <w:rPr>
          <w:color w:val="000000" w:themeColor="text1"/>
          <w:lang w:eastAsia="ja-JP"/>
        </w:rPr>
      </w:pPr>
      <w:r>
        <w:t>Sub-</w:t>
      </w:r>
      <w:r w:rsidR="00624C3A" w:rsidRPr="00102605">
        <w:t>Project</w:t>
      </w:r>
      <w:r>
        <w:t>s</w:t>
      </w:r>
      <w:r w:rsidR="00624C3A" w:rsidRPr="00102605">
        <w:t xml:space="preserve"> covers the entire e-bus system of buses, charging infrastructure, grid connection and bus depot upgrades to accommodate e-</w:t>
      </w:r>
      <w:r w:rsidR="00102605" w:rsidRPr="00102605">
        <w:t>buses</w:t>
      </w:r>
      <w:r w:rsidR="00102605">
        <w:t>.</w:t>
      </w:r>
      <w:r w:rsidR="00102605" w:rsidRPr="00102605">
        <w:rPr>
          <w:color w:val="000000" w:themeColor="text1"/>
          <w:lang w:eastAsia="ja-JP"/>
        </w:rPr>
        <w:t xml:space="preserve"> This</w:t>
      </w:r>
      <w:r w:rsidR="00141B3D" w:rsidRPr="00102605">
        <w:rPr>
          <w:color w:val="000000" w:themeColor="text1"/>
          <w:lang w:eastAsia="ja-JP"/>
        </w:rPr>
        <w:t xml:space="preserve"> includes different e-bus technologies (slow-, fast-, opportunity and ultra-fast charged buses), different bus sizes (8 m to 26 m buses) and different operational structures (mixed traffic buses as well as units operating on bus-only routes). E-buses </w:t>
      </w:r>
      <w:r w:rsidR="00624C3A" w:rsidRPr="00102605">
        <w:rPr>
          <w:color w:val="000000" w:themeColor="text1"/>
          <w:lang w:eastAsia="ja-JP"/>
        </w:rPr>
        <w:t>will replace</w:t>
      </w:r>
      <w:r w:rsidR="00141B3D" w:rsidRPr="00102605">
        <w:rPr>
          <w:color w:val="000000" w:themeColor="text1"/>
          <w:lang w:eastAsia="ja-JP"/>
        </w:rPr>
        <w:t xml:space="preserve"> fossil</w:t>
      </w:r>
      <w:r w:rsidR="00624C3A" w:rsidRPr="00102605">
        <w:rPr>
          <w:color w:val="000000" w:themeColor="text1"/>
          <w:lang w:eastAsia="ja-JP"/>
        </w:rPr>
        <w:t>-</w:t>
      </w:r>
      <w:r w:rsidR="00102605" w:rsidRPr="00102605">
        <w:rPr>
          <w:color w:val="000000" w:themeColor="text1"/>
          <w:lang w:eastAsia="ja-JP"/>
        </w:rPr>
        <w:t>fuelled</w:t>
      </w:r>
      <w:r w:rsidR="00141B3D" w:rsidRPr="00102605">
        <w:rPr>
          <w:color w:val="000000" w:themeColor="text1"/>
          <w:lang w:eastAsia="ja-JP"/>
        </w:rPr>
        <w:t xml:space="preserve"> buses</w:t>
      </w:r>
      <w:r w:rsidR="00624C3A" w:rsidRPr="00102605">
        <w:rPr>
          <w:color w:val="000000" w:themeColor="text1"/>
          <w:lang w:eastAsia="ja-JP"/>
        </w:rPr>
        <w:t>.</w:t>
      </w:r>
      <w:r w:rsidR="00141B3D" w:rsidRPr="00102605">
        <w:rPr>
          <w:color w:val="000000" w:themeColor="text1"/>
          <w:lang w:eastAsia="ja-JP"/>
        </w:rPr>
        <w:t xml:space="preserve"> </w:t>
      </w:r>
    </w:p>
    <w:p w14:paraId="207E1E30" w14:textId="240A3BD9" w:rsidR="00961383" w:rsidRDefault="00141B3D" w:rsidP="00D07B6F">
      <w:pPr>
        <w:spacing w:after="0" w:line="240" w:lineRule="auto"/>
        <w:rPr>
          <w:color w:val="000000" w:themeColor="text1"/>
          <w:lang w:eastAsia="ja-JP"/>
        </w:rPr>
      </w:pPr>
      <w:r w:rsidRPr="00102605">
        <w:rPr>
          <w:color w:val="000000" w:themeColor="text1"/>
          <w:lang w:eastAsia="ja-JP"/>
        </w:rPr>
        <w:t xml:space="preserve"> </w:t>
      </w:r>
    </w:p>
    <w:p w14:paraId="10FD005E" w14:textId="230CFDC8" w:rsidR="00BA4C24" w:rsidRPr="00102605" w:rsidRDefault="00BA4C24" w:rsidP="00D07B6F">
      <w:pPr>
        <w:spacing w:after="0" w:line="240" w:lineRule="auto"/>
        <w:rPr>
          <w:color w:val="000000" w:themeColor="text1"/>
          <w:lang w:eastAsia="ja-JP"/>
        </w:rPr>
      </w:pPr>
      <w:r w:rsidRPr="00102605">
        <w:rPr>
          <w:rFonts w:asciiTheme="minorBidi" w:hAnsiTheme="minorBidi"/>
        </w:rPr>
        <w:t>E-mobility is combined with PT measures to foster mode shift to low-carbon transport to strengthen attractiveness and convenience of PT including measures such as exclusive bus lanes, improved pedestrianization and public transport accessibility, transit-oriented development, fostering of electric micro-mobility and gender sensitive interventions</w:t>
      </w:r>
      <w:r w:rsidR="00F75D28">
        <w:rPr>
          <w:rFonts w:asciiTheme="minorBidi" w:hAnsiTheme="minorBidi"/>
        </w:rPr>
        <w:t>.</w:t>
      </w:r>
    </w:p>
    <w:p w14:paraId="5F9AA39B" w14:textId="77777777" w:rsidR="0036134F" w:rsidRPr="00102605" w:rsidRDefault="0036134F" w:rsidP="00D07B6F">
      <w:pPr>
        <w:spacing w:after="0" w:line="240" w:lineRule="auto"/>
        <w:rPr>
          <w:color w:val="000000" w:themeColor="text1"/>
          <w:lang w:eastAsia="ja-JP"/>
        </w:rPr>
      </w:pPr>
    </w:p>
    <w:p w14:paraId="3ED421DF" w14:textId="30528239" w:rsidR="00357CA2" w:rsidRPr="00102605" w:rsidRDefault="00961383" w:rsidP="00D07B6F">
      <w:pPr>
        <w:spacing w:after="0" w:line="240" w:lineRule="auto"/>
        <w:rPr>
          <w:color w:val="000000" w:themeColor="text1"/>
          <w:lang w:eastAsia="ja-JP"/>
        </w:rPr>
      </w:pPr>
      <w:r w:rsidRPr="00102605">
        <w:rPr>
          <w:color w:val="000000" w:themeColor="text1"/>
          <w:u w:val="single"/>
          <w:lang w:eastAsia="ja-JP"/>
        </w:rPr>
        <w:t xml:space="preserve">Component </w:t>
      </w:r>
      <w:r w:rsidR="00215867" w:rsidRPr="00102605">
        <w:rPr>
          <w:color w:val="000000" w:themeColor="text1"/>
          <w:u w:val="single"/>
          <w:lang w:eastAsia="ja-JP"/>
        </w:rPr>
        <w:t>3</w:t>
      </w:r>
      <w:r w:rsidRPr="00102605">
        <w:rPr>
          <w:color w:val="000000" w:themeColor="text1"/>
          <w:u w:val="single"/>
          <w:lang w:eastAsia="ja-JP"/>
        </w:rPr>
        <w:t xml:space="preserve">: </w:t>
      </w:r>
      <w:r w:rsidR="00CD5746" w:rsidRPr="00102605">
        <w:rPr>
          <w:color w:val="000000" w:themeColor="text1"/>
          <w:u w:val="single"/>
          <w:lang w:eastAsia="ja-JP"/>
        </w:rPr>
        <w:t xml:space="preserve">Deployment of e-public fleets and e-LCVs </w:t>
      </w:r>
      <w:r w:rsidR="00E30BD7" w:rsidRPr="00102605">
        <w:rPr>
          <w:color w:val="000000" w:themeColor="text1"/>
          <w:u w:val="single"/>
          <w:lang w:eastAsia="ja-JP"/>
        </w:rPr>
        <w:t>(Light Commercial Vehicles)</w:t>
      </w:r>
      <w:r w:rsidRPr="003A2800">
        <w:rPr>
          <w:color w:val="000000" w:themeColor="text1"/>
          <w:lang w:eastAsia="ja-JP"/>
        </w:rPr>
        <w:t>.</w:t>
      </w:r>
      <w:r w:rsidRPr="00102605">
        <w:rPr>
          <w:color w:val="000000" w:themeColor="text1"/>
          <w:lang w:eastAsia="ja-JP"/>
        </w:rPr>
        <w:t xml:space="preserve"> </w:t>
      </w:r>
      <w:r w:rsidR="00357CA2" w:rsidRPr="00102605">
        <w:rPr>
          <w:color w:val="000000" w:themeColor="text1"/>
          <w:lang w:eastAsia="ja-JP"/>
        </w:rPr>
        <w:t>The principal activities to be undertaken in this component include the following:</w:t>
      </w:r>
    </w:p>
    <w:p w14:paraId="1CC41409" w14:textId="29415C23" w:rsidR="00357CA2" w:rsidRPr="00102605" w:rsidRDefault="00357CA2" w:rsidP="00D07B6F">
      <w:pPr>
        <w:spacing w:after="0" w:line="240" w:lineRule="auto"/>
        <w:rPr>
          <w:color w:val="000000" w:themeColor="text1"/>
          <w:lang w:eastAsia="ja-JP"/>
        </w:rPr>
      </w:pPr>
    </w:p>
    <w:p w14:paraId="4B786D67" w14:textId="29FAD2C8" w:rsidR="00357CA2" w:rsidRDefault="00C524AB" w:rsidP="00D07B6F">
      <w:pPr>
        <w:pStyle w:val="Prrafodelista"/>
        <w:numPr>
          <w:ilvl w:val="0"/>
          <w:numId w:val="36"/>
        </w:numPr>
        <w:spacing w:after="0" w:line="240" w:lineRule="auto"/>
        <w:rPr>
          <w:color w:val="000000" w:themeColor="text1"/>
          <w:lang w:eastAsia="ja-JP"/>
        </w:rPr>
      </w:pPr>
      <w:r>
        <w:rPr>
          <w:color w:val="000000" w:themeColor="text1"/>
          <w:lang w:eastAsia="ja-JP"/>
        </w:rPr>
        <w:t>Sub-</w:t>
      </w:r>
      <w:r w:rsidR="00357CA2" w:rsidRPr="00102605">
        <w:rPr>
          <w:color w:val="000000" w:themeColor="text1"/>
          <w:lang w:eastAsia="ja-JP"/>
        </w:rPr>
        <w:t>Project</w:t>
      </w:r>
      <w:r>
        <w:rPr>
          <w:color w:val="000000" w:themeColor="text1"/>
          <w:lang w:eastAsia="ja-JP"/>
        </w:rPr>
        <w:t>s</w:t>
      </w:r>
      <w:r w:rsidR="00357CA2" w:rsidRPr="00102605">
        <w:rPr>
          <w:color w:val="000000" w:themeColor="text1"/>
          <w:lang w:eastAsia="ja-JP"/>
        </w:rPr>
        <w:t xml:space="preserve"> preparation, </w:t>
      </w:r>
      <w:r w:rsidR="00102605" w:rsidRPr="00102605">
        <w:rPr>
          <w:color w:val="000000" w:themeColor="text1"/>
          <w:lang w:eastAsia="ja-JP"/>
        </w:rPr>
        <w:t>financing,</w:t>
      </w:r>
      <w:r w:rsidR="00357CA2" w:rsidRPr="00102605">
        <w:rPr>
          <w:color w:val="000000" w:themeColor="text1"/>
          <w:lang w:eastAsia="ja-JP"/>
        </w:rPr>
        <w:t xml:space="preserve"> and implementation for deployment of 1,150 electric LCVs (public and private fleets) in cities.</w:t>
      </w:r>
    </w:p>
    <w:p w14:paraId="3F3A49FE" w14:textId="77777777" w:rsidR="00E014DD" w:rsidRDefault="00E014DD" w:rsidP="00E014DD">
      <w:pPr>
        <w:spacing w:after="0" w:line="240" w:lineRule="auto"/>
        <w:rPr>
          <w:color w:val="000000" w:themeColor="text1"/>
          <w:lang w:eastAsia="ja-JP"/>
        </w:rPr>
      </w:pPr>
    </w:p>
    <w:p w14:paraId="59A6A62C" w14:textId="4FDDBF8D" w:rsidR="00E014DD" w:rsidRPr="007241C3" w:rsidRDefault="00E014DD" w:rsidP="007241C3">
      <w:pPr>
        <w:spacing w:after="0" w:line="240" w:lineRule="auto"/>
        <w:rPr>
          <w:color w:val="000000" w:themeColor="text1"/>
          <w:lang w:eastAsia="ja-JP"/>
        </w:rPr>
      </w:pPr>
      <w:r w:rsidRPr="007241C3">
        <w:rPr>
          <w:color w:val="000000" w:themeColor="text1"/>
          <w:lang w:eastAsia="ja-JP"/>
        </w:rPr>
        <w:t>Details for the sub-</w:t>
      </w:r>
      <w:proofErr w:type="gramStart"/>
      <w:r w:rsidRPr="007241C3">
        <w:rPr>
          <w:color w:val="000000" w:themeColor="text1"/>
          <w:lang w:eastAsia="ja-JP"/>
        </w:rPr>
        <w:t>projects</w:t>
      </w:r>
      <w:proofErr w:type="gramEnd"/>
      <w:r w:rsidRPr="007241C3">
        <w:rPr>
          <w:color w:val="000000" w:themeColor="text1"/>
          <w:lang w:eastAsia="ja-JP"/>
        </w:rPr>
        <w:t xml:space="preserve"> preparation, financing, and implementation for the deployment of around </w:t>
      </w:r>
      <w:r w:rsidR="00744C52">
        <w:rPr>
          <w:color w:val="000000" w:themeColor="text1"/>
          <w:lang w:eastAsia="ja-JP"/>
        </w:rPr>
        <w:t>11</w:t>
      </w:r>
      <w:r w:rsidRPr="007241C3">
        <w:rPr>
          <w:color w:val="000000" w:themeColor="text1"/>
          <w:lang w:eastAsia="ja-JP"/>
        </w:rPr>
        <w:t>50 e-</w:t>
      </w:r>
      <w:r w:rsidR="00744C52">
        <w:rPr>
          <w:color w:val="000000" w:themeColor="text1"/>
          <w:lang w:eastAsia="ja-JP"/>
        </w:rPr>
        <w:t>LCVs (private and public)</w:t>
      </w:r>
      <w:r w:rsidRPr="007241C3">
        <w:rPr>
          <w:color w:val="000000" w:themeColor="text1"/>
          <w:lang w:eastAsia="ja-JP"/>
        </w:rPr>
        <w:t xml:space="preserve"> are displayed in</w:t>
      </w:r>
      <w:r w:rsidR="000C18B3">
        <w:rPr>
          <w:color w:val="000000" w:themeColor="text1"/>
          <w:lang w:eastAsia="ja-JP"/>
        </w:rPr>
        <w:t xml:space="preserve"> </w:t>
      </w:r>
      <w:r w:rsidR="000C18B3">
        <w:rPr>
          <w:color w:val="000000" w:themeColor="text1"/>
          <w:lang w:eastAsia="ja-JP"/>
        </w:rPr>
        <w:fldChar w:fldCharType="begin"/>
      </w:r>
      <w:r w:rsidR="000C18B3">
        <w:rPr>
          <w:color w:val="000000" w:themeColor="text1"/>
          <w:lang w:eastAsia="ja-JP"/>
        </w:rPr>
        <w:instrText xml:space="preserve"> REF _Ref113614371 \h </w:instrText>
      </w:r>
      <w:r w:rsidR="000C18B3">
        <w:rPr>
          <w:color w:val="000000" w:themeColor="text1"/>
          <w:lang w:eastAsia="ja-JP"/>
        </w:rPr>
      </w:r>
      <w:r w:rsidR="000C18B3">
        <w:rPr>
          <w:color w:val="000000" w:themeColor="text1"/>
          <w:lang w:eastAsia="ja-JP"/>
        </w:rPr>
        <w:fldChar w:fldCharType="separate"/>
      </w:r>
      <w:r w:rsidR="000C18B3" w:rsidRPr="00102605">
        <w:t xml:space="preserve">Table </w:t>
      </w:r>
      <w:r w:rsidR="000C18B3">
        <w:rPr>
          <w:noProof/>
        </w:rPr>
        <w:t>3</w:t>
      </w:r>
      <w:r w:rsidR="000C18B3">
        <w:rPr>
          <w:color w:val="000000" w:themeColor="text1"/>
          <w:lang w:eastAsia="ja-JP"/>
        </w:rPr>
        <w:fldChar w:fldCharType="end"/>
      </w:r>
      <w:r w:rsidR="000C18B3">
        <w:rPr>
          <w:color w:val="000000" w:themeColor="text1"/>
          <w:lang w:eastAsia="ja-JP"/>
        </w:rPr>
        <w:t xml:space="preserve"> and </w:t>
      </w:r>
      <w:r w:rsidR="000C18B3">
        <w:rPr>
          <w:color w:val="000000" w:themeColor="text1"/>
          <w:lang w:eastAsia="ja-JP"/>
        </w:rPr>
        <w:fldChar w:fldCharType="begin"/>
      </w:r>
      <w:r w:rsidR="000C18B3">
        <w:rPr>
          <w:color w:val="000000" w:themeColor="text1"/>
          <w:lang w:eastAsia="ja-JP"/>
        </w:rPr>
        <w:instrText xml:space="preserve"> REF _Ref113614375 \h </w:instrText>
      </w:r>
      <w:r w:rsidR="000C18B3">
        <w:rPr>
          <w:color w:val="000000" w:themeColor="text1"/>
          <w:lang w:eastAsia="ja-JP"/>
        </w:rPr>
      </w:r>
      <w:r w:rsidR="000C18B3">
        <w:rPr>
          <w:color w:val="000000" w:themeColor="text1"/>
          <w:lang w:eastAsia="ja-JP"/>
        </w:rPr>
        <w:fldChar w:fldCharType="separate"/>
      </w:r>
      <w:r w:rsidR="000C18B3">
        <w:t xml:space="preserve">Table </w:t>
      </w:r>
      <w:r w:rsidR="000C18B3">
        <w:rPr>
          <w:noProof/>
        </w:rPr>
        <w:t>4</w:t>
      </w:r>
      <w:r w:rsidR="000C18B3">
        <w:rPr>
          <w:color w:val="000000" w:themeColor="text1"/>
          <w:lang w:eastAsia="ja-JP"/>
        </w:rPr>
        <w:fldChar w:fldCharType="end"/>
      </w:r>
      <w:r w:rsidRPr="007241C3">
        <w:rPr>
          <w:color w:val="000000" w:themeColor="text1"/>
          <w:lang w:eastAsia="ja-JP"/>
        </w:rPr>
        <w:t>.</w:t>
      </w:r>
    </w:p>
    <w:p w14:paraId="60C32AD4" w14:textId="77777777" w:rsidR="00E014DD" w:rsidRPr="007241C3" w:rsidRDefault="00E014DD" w:rsidP="007241C3">
      <w:pPr>
        <w:spacing w:after="0" w:line="240" w:lineRule="auto"/>
        <w:rPr>
          <w:color w:val="000000" w:themeColor="text1"/>
          <w:lang w:eastAsia="ja-JP"/>
        </w:rPr>
      </w:pPr>
    </w:p>
    <w:p w14:paraId="45C63DFE" w14:textId="77777777" w:rsidR="002C4E6E" w:rsidRPr="00102605" w:rsidRDefault="002C4E6E" w:rsidP="00D07B6F">
      <w:pPr>
        <w:pStyle w:val="Prrafodelista"/>
        <w:spacing w:after="0" w:line="240" w:lineRule="auto"/>
        <w:ind w:left="360"/>
        <w:rPr>
          <w:color w:val="000000" w:themeColor="text1"/>
          <w:lang w:eastAsia="ja-JP"/>
        </w:rPr>
      </w:pPr>
    </w:p>
    <w:p w14:paraId="6627DA96" w14:textId="05E52BF7" w:rsidR="00357CA2" w:rsidRPr="00102605" w:rsidRDefault="002C4E6E" w:rsidP="00AA0C68">
      <w:pPr>
        <w:spacing w:after="0"/>
        <w:jc w:val="center"/>
      </w:pPr>
      <w:bookmarkStart w:id="6" w:name="_Ref113614371"/>
      <w:r w:rsidRPr="00102605">
        <w:t xml:space="preserve">Table </w:t>
      </w:r>
      <w:r>
        <w:fldChar w:fldCharType="begin"/>
      </w:r>
      <w:r>
        <w:instrText>SEQ Table \* ARABIC</w:instrText>
      </w:r>
      <w:r>
        <w:fldChar w:fldCharType="separate"/>
      </w:r>
      <w:r w:rsidR="00072B3C">
        <w:rPr>
          <w:noProof/>
        </w:rPr>
        <w:t>3</w:t>
      </w:r>
      <w:r>
        <w:fldChar w:fldCharType="end"/>
      </w:r>
      <w:bookmarkEnd w:id="6"/>
      <w:r w:rsidRPr="00102605">
        <w:t>: Number of e-LCV</w:t>
      </w:r>
      <w:r w:rsidR="003C7481" w:rsidRPr="00102605">
        <w:t>s</w:t>
      </w:r>
      <w:r w:rsidRPr="00102605">
        <w:t xml:space="preserve"> expected to be financed by country</w:t>
      </w:r>
    </w:p>
    <w:tbl>
      <w:tblPr>
        <w:tblStyle w:val="TableGrid1"/>
        <w:tblW w:w="9243" w:type="dxa"/>
        <w:jc w:val="center"/>
        <w:tblLayout w:type="fixed"/>
        <w:tblLook w:val="04A0" w:firstRow="1" w:lastRow="0" w:firstColumn="1" w:lastColumn="0" w:noHBand="0" w:noVBand="1"/>
      </w:tblPr>
      <w:tblGrid>
        <w:gridCol w:w="988"/>
        <w:gridCol w:w="895"/>
        <w:gridCol w:w="958"/>
        <w:gridCol w:w="2486"/>
        <w:gridCol w:w="3916"/>
      </w:tblGrid>
      <w:tr w:rsidR="003647FB" w:rsidRPr="00102605" w14:paraId="4D01D4D4" w14:textId="77777777" w:rsidTr="00AA0C68">
        <w:trPr>
          <w:trHeight w:val="397"/>
          <w:jc w:val="center"/>
        </w:trPr>
        <w:tc>
          <w:tcPr>
            <w:tcW w:w="988" w:type="dxa"/>
            <w:shd w:val="clear" w:color="auto" w:fill="D9E2F3" w:themeFill="accent1" w:themeFillTint="33"/>
            <w:noWrap/>
            <w:vAlign w:val="center"/>
            <w:hideMark/>
          </w:tcPr>
          <w:p w14:paraId="5FA6468A" w14:textId="77777777" w:rsidR="003647FB" w:rsidRPr="00102605" w:rsidRDefault="003647FB" w:rsidP="003647FB">
            <w:pPr>
              <w:jc w:val="center"/>
              <w:rPr>
                <w:rFonts w:cs="Arial"/>
                <w:b/>
                <w:bCs/>
                <w:color w:val="000000"/>
                <w:sz w:val="18"/>
                <w:szCs w:val="18"/>
                <w:lang w:val="en-GB" w:eastAsia="de-DE"/>
              </w:rPr>
            </w:pPr>
            <w:r w:rsidRPr="00102605">
              <w:rPr>
                <w:rFonts w:cs="Arial"/>
                <w:b/>
                <w:bCs/>
                <w:color w:val="000000"/>
                <w:sz w:val="18"/>
                <w:szCs w:val="18"/>
                <w:lang w:val="en-GB"/>
              </w:rPr>
              <w:t>Country</w:t>
            </w:r>
          </w:p>
        </w:tc>
        <w:tc>
          <w:tcPr>
            <w:tcW w:w="895" w:type="dxa"/>
            <w:shd w:val="clear" w:color="auto" w:fill="D9E2F3" w:themeFill="accent1" w:themeFillTint="33"/>
            <w:noWrap/>
            <w:vAlign w:val="center"/>
            <w:hideMark/>
          </w:tcPr>
          <w:p w14:paraId="08ED045D" w14:textId="77777777" w:rsidR="003647FB" w:rsidRPr="00102605" w:rsidRDefault="003647FB" w:rsidP="003647FB">
            <w:pPr>
              <w:jc w:val="center"/>
              <w:rPr>
                <w:rFonts w:cs="Arial"/>
                <w:b/>
                <w:bCs/>
                <w:color w:val="000000"/>
                <w:sz w:val="18"/>
                <w:szCs w:val="18"/>
                <w:lang w:val="en-GB"/>
              </w:rPr>
            </w:pPr>
            <w:r w:rsidRPr="00102605">
              <w:rPr>
                <w:rFonts w:cs="Arial"/>
                <w:b/>
                <w:bCs/>
                <w:color w:val="000000"/>
                <w:sz w:val="18"/>
                <w:szCs w:val="18"/>
                <w:lang w:val="en-GB"/>
              </w:rPr>
              <w:t>Fleet</w:t>
            </w:r>
          </w:p>
        </w:tc>
        <w:tc>
          <w:tcPr>
            <w:tcW w:w="958" w:type="dxa"/>
            <w:shd w:val="clear" w:color="auto" w:fill="D9E2F3" w:themeFill="accent1" w:themeFillTint="33"/>
            <w:noWrap/>
            <w:vAlign w:val="center"/>
            <w:hideMark/>
          </w:tcPr>
          <w:p w14:paraId="07CD0A4D" w14:textId="77777777" w:rsidR="003647FB" w:rsidRPr="00102605" w:rsidRDefault="003647FB" w:rsidP="003647FB">
            <w:pPr>
              <w:jc w:val="center"/>
              <w:rPr>
                <w:rFonts w:cs="Arial"/>
                <w:b/>
                <w:bCs/>
                <w:color w:val="000000"/>
                <w:sz w:val="18"/>
                <w:szCs w:val="18"/>
                <w:lang w:val="en-GB"/>
              </w:rPr>
            </w:pPr>
            <w:r w:rsidRPr="00102605">
              <w:rPr>
                <w:rFonts w:cs="Arial"/>
                <w:b/>
                <w:bCs/>
                <w:color w:val="000000"/>
                <w:sz w:val="18"/>
                <w:szCs w:val="18"/>
                <w:lang w:val="en-GB"/>
              </w:rPr>
              <w:t>Number EV</w:t>
            </w:r>
          </w:p>
        </w:tc>
        <w:tc>
          <w:tcPr>
            <w:tcW w:w="2486" w:type="dxa"/>
            <w:shd w:val="clear" w:color="auto" w:fill="D9E2F3" w:themeFill="accent1" w:themeFillTint="33"/>
            <w:noWrap/>
            <w:vAlign w:val="center"/>
            <w:hideMark/>
          </w:tcPr>
          <w:p w14:paraId="6010ED62" w14:textId="77777777" w:rsidR="003647FB" w:rsidRPr="00102605" w:rsidRDefault="003647FB" w:rsidP="003647FB">
            <w:pPr>
              <w:jc w:val="center"/>
              <w:rPr>
                <w:rFonts w:cs="Arial"/>
                <w:b/>
                <w:bCs/>
                <w:color w:val="000000"/>
                <w:sz w:val="18"/>
                <w:szCs w:val="18"/>
                <w:lang w:val="en-GB"/>
              </w:rPr>
            </w:pPr>
            <w:r w:rsidRPr="00102605">
              <w:rPr>
                <w:rFonts w:cs="Arial"/>
                <w:b/>
                <w:bCs/>
                <w:color w:val="000000"/>
                <w:sz w:val="18"/>
                <w:szCs w:val="18"/>
                <w:lang w:val="en-GB"/>
              </w:rPr>
              <w:t>Financing implementing partners</w:t>
            </w:r>
          </w:p>
        </w:tc>
        <w:tc>
          <w:tcPr>
            <w:tcW w:w="3916" w:type="dxa"/>
            <w:shd w:val="clear" w:color="auto" w:fill="D9E2F3" w:themeFill="accent1" w:themeFillTint="33"/>
            <w:vAlign w:val="center"/>
            <w:hideMark/>
          </w:tcPr>
          <w:p w14:paraId="046FB866" w14:textId="77777777" w:rsidR="003647FB" w:rsidRPr="00102605" w:rsidRDefault="003647FB" w:rsidP="003647FB">
            <w:pPr>
              <w:jc w:val="center"/>
              <w:rPr>
                <w:rFonts w:cs="Arial"/>
                <w:b/>
                <w:bCs/>
                <w:color w:val="000000"/>
                <w:sz w:val="18"/>
                <w:szCs w:val="18"/>
                <w:lang w:val="en-GB"/>
              </w:rPr>
            </w:pPr>
            <w:r w:rsidRPr="00102605">
              <w:rPr>
                <w:rFonts w:cs="Arial"/>
                <w:b/>
                <w:bCs/>
                <w:color w:val="000000"/>
                <w:sz w:val="18"/>
                <w:szCs w:val="18"/>
                <w:lang w:val="en-GB"/>
              </w:rPr>
              <w:t>E-Motion financing model</w:t>
            </w:r>
          </w:p>
        </w:tc>
      </w:tr>
      <w:tr w:rsidR="003647FB" w:rsidRPr="00102605" w14:paraId="64AA4A4B" w14:textId="77777777" w:rsidTr="00AA0C68">
        <w:trPr>
          <w:trHeight w:val="880"/>
          <w:jc w:val="center"/>
        </w:trPr>
        <w:tc>
          <w:tcPr>
            <w:tcW w:w="988" w:type="dxa"/>
            <w:vMerge w:val="restart"/>
            <w:noWrap/>
            <w:vAlign w:val="center"/>
          </w:tcPr>
          <w:p w14:paraId="5A4EB68F"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Panama</w:t>
            </w:r>
          </w:p>
        </w:tc>
        <w:tc>
          <w:tcPr>
            <w:tcW w:w="895" w:type="dxa"/>
            <w:noWrap/>
            <w:vAlign w:val="center"/>
          </w:tcPr>
          <w:p w14:paraId="18BE7B38"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Public Fleets</w:t>
            </w:r>
          </w:p>
        </w:tc>
        <w:tc>
          <w:tcPr>
            <w:tcW w:w="958" w:type="dxa"/>
            <w:noWrap/>
            <w:vAlign w:val="center"/>
          </w:tcPr>
          <w:p w14:paraId="5E89E311" w14:textId="77777777" w:rsidR="003647FB" w:rsidRPr="00102605" w:rsidRDefault="003647FB" w:rsidP="003647FB">
            <w:pPr>
              <w:jc w:val="center"/>
              <w:rPr>
                <w:rFonts w:cs="Arial"/>
                <w:color w:val="000000"/>
                <w:sz w:val="18"/>
                <w:szCs w:val="18"/>
                <w:lang w:val="en-GB"/>
              </w:rPr>
            </w:pPr>
            <w:r w:rsidRPr="00102605">
              <w:rPr>
                <w:rFonts w:cs="Arial"/>
                <w:color w:val="000000"/>
                <w:sz w:val="18"/>
                <w:szCs w:val="18"/>
                <w:lang w:val="en-GB"/>
              </w:rPr>
              <w:t>400</w:t>
            </w:r>
          </w:p>
        </w:tc>
        <w:tc>
          <w:tcPr>
            <w:tcW w:w="2486" w:type="dxa"/>
            <w:vAlign w:val="center"/>
          </w:tcPr>
          <w:p w14:paraId="6AD8E734" w14:textId="77777777" w:rsidR="003647FB" w:rsidRPr="00EF47DA" w:rsidRDefault="003647FB" w:rsidP="003647FB">
            <w:pPr>
              <w:rPr>
                <w:rFonts w:cs="Arial"/>
                <w:color w:val="000000"/>
                <w:sz w:val="18"/>
                <w:szCs w:val="18"/>
                <w:lang w:val="es-AR"/>
              </w:rPr>
            </w:pPr>
            <w:r w:rsidRPr="00EF47DA">
              <w:rPr>
                <w:rFonts w:cs="Arial"/>
                <w:color w:val="000000"/>
                <w:sz w:val="18"/>
                <w:szCs w:val="18"/>
                <w:lang w:val="es-AR"/>
              </w:rPr>
              <w:t>Ministerio de Economía y Finanzas (MEF)</w:t>
            </w:r>
          </w:p>
        </w:tc>
        <w:tc>
          <w:tcPr>
            <w:tcW w:w="3916" w:type="dxa"/>
            <w:vAlign w:val="center"/>
          </w:tcPr>
          <w:p w14:paraId="1E2AA28A" w14:textId="21FE9C38" w:rsidR="003647FB" w:rsidRPr="00102605" w:rsidRDefault="003647FB" w:rsidP="003647FB">
            <w:pPr>
              <w:rPr>
                <w:rFonts w:cs="Arial"/>
                <w:color w:val="000000"/>
                <w:sz w:val="18"/>
                <w:szCs w:val="18"/>
                <w:lang w:val="en-GB"/>
              </w:rPr>
            </w:pPr>
            <w:r w:rsidRPr="00102605">
              <w:rPr>
                <w:rFonts w:cs="Arial"/>
                <w:color w:val="000000"/>
                <w:sz w:val="18"/>
                <w:szCs w:val="18"/>
                <w:lang w:val="en-GB"/>
              </w:rPr>
              <w:t xml:space="preserve">MEF deal with concessional loans to promote </w:t>
            </w:r>
            <w:r w:rsidR="00143368">
              <w:rPr>
                <w:rFonts w:cs="Arial"/>
                <w:color w:val="000000"/>
                <w:sz w:val="18"/>
                <w:szCs w:val="18"/>
                <w:lang w:val="en-GB"/>
              </w:rPr>
              <w:t>EVs</w:t>
            </w:r>
            <w:r w:rsidRPr="00102605">
              <w:rPr>
                <w:rFonts w:cs="Arial"/>
                <w:color w:val="000000"/>
                <w:sz w:val="18"/>
                <w:szCs w:val="18"/>
                <w:lang w:val="en-GB"/>
              </w:rPr>
              <w:t xml:space="preserve"> as PA has targets on electrification of its public fleet to 2030 (ENME).</w:t>
            </w:r>
          </w:p>
        </w:tc>
      </w:tr>
      <w:tr w:rsidR="003647FB" w:rsidRPr="00102605" w14:paraId="59D4D52B" w14:textId="77777777" w:rsidTr="00AA0C68">
        <w:trPr>
          <w:trHeight w:val="567"/>
          <w:jc w:val="center"/>
        </w:trPr>
        <w:tc>
          <w:tcPr>
            <w:tcW w:w="988" w:type="dxa"/>
            <w:vMerge/>
            <w:noWrap/>
            <w:vAlign w:val="center"/>
          </w:tcPr>
          <w:p w14:paraId="73F107FE" w14:textId="77777777" w:rsidR="003647FB" w:rsidRPr="00102605" w:rsidRDefault="003647FB" w:rsidP="003647FB">
            <w:pPr>
              <w:rPr>
                <w:rFonts w:cs="Arial"/>
                <w:color w:val="000000"/>
                <w:sz w:val="18"/>
                <w:szCs w:val="18"/>
                <w:lang w:val="en-GB"/>
              </w:rPr>
            </w:pPr>
          </w:p>
        </w:tc>
        <w:tc>
          <w:tcPr>
            <w:tcW w:w="895" w:type="dxa"/>
            <w:noWrap/>
            <w:vAlign w:val="center"/>
          </w:tcPr>
          <w:p w14:paraId="00CC98EF" w14:textId="0181E5B6" w:rsidR="003647FB" w:rsidRPr="00102605" w:rsidRDefault="00152760" w:rsidP="003647FB">
            <w:pPr>
              <w:rPr>
                <w:rFonts w:cs="Arial"/>
                <w:color w:val="000000"/>
                <w:sz w:val="18"/>
                <w:szCs w:val="18"/>
                <w:lang w:val="en-GB"/>
              </w:rPr>
            </w:pPr>
            <w:r>
              <w:rPr>
                <w:rFonts w:cs="Arial"/>
                <w:color w:val="000000"/>
                <w:sz w:val="18"/>
                <w:szCs w:val="18"/>
                <w:lang w:val="en-GB"/>
              </w:rPr>
              <w:t>private e-</w:t>
            </w:r>
            <w:r w:rsidR="003647FB" w:rsidRPr="00102605">
              <w:rPr>
                <w:rFonts w:cs="Arial"/>
                <w:color w:val="000000"/>
                <w:sz w:val="18"/>
                <w:szCs w:val="18"/>
                <w:lang w:val="en-GB"/>
              </w:rPr>
              <w:t>LCVs</w:t>
            </w:r>
          </w:p>
        </w:tc>
        <w:tc>
          <w:tcPr>
            <w:tcW w:w="958" w:type="dxa"/>
            <w:noWrap/>
            <w:vAlign w:val="center"/>
          </w:tcPr>
          <w:p w14:paraId="4413AD77" w14:textId="77777777" w:rsidR="003647FB" w:rsidRPr="00102605" w:rsidRDefault="003647FB" w:rsidP="003647FB">
            <w:pPr>
              <w:jc w:val="center"/>
              <w:rPr>
                <w:rFonts w:cs="Arial"/>
                <w:color w:val="000000"/>
                <w:sz w:val="18"/>
                <w:szCs w:val="18"/>
                <w:lang w:val="en-GB"/>
              </w:rPr>
            </w:pPr>
            <w:r w:rsidRPr="00102605">
              <w:rPr>
                <w:rFonts w:cs="Arial"/>
                <w:color w:val="000000"/>
                <w:sz w:val="18"/>
                <w:szCs w:val="18"/>
                <w:lang w:val="en-GB"/>
              </w:rPr>
              <w:t>50</w:t>
            </w:r>
          </w:p>
        </w:tc>
        <w:tc>
          <w:tcPr>
            <w:tcW w:w="2486" w:type="dxa"/>
            <w:vAlign w:val="center"/>
          </w:tcPr>
          <w:p w14:paraId="41F28141"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BNP, CA</w:t>
            </w:r>
          </w:p>
        </w:tc>
        <w:tc>
          <w:tcPr>
            <w:tcW w:w="3916" w:type="dxa"/>
            <w:vAlign w:val="center"/>
          </w:tcPr>
          <w:p w14:paraId="0F556372" w14:textId="7BD21ED4" w:rsidR="003647FB" w:rsidRPr="00102605" w:rsidRDefault="003647FB" w:rsidP="003647FB">
            <w:pPr>
              <w:rPr>
                <w:rFonts w:cs="Arial"/>
                <w:color w:val="000000"/>
                <w:sz w:val="18"/>
                <w:szCs w:val="18"/>
                <w:lang w:val="en-GB"/>
              </w:rPr>
            </w:pPr>
            <w:r w:rsidRPr="00102605">
              <w:rPr>
                <w:rFonts w:cs="Arial"/>
                <w:color w:val="000000"/>
                <w:sz w:val="18"/>
                <w:szCs w:val="18"/>
                <w:lang w:val="en-GB"/>
              </w:rPr>
              <w:t xml:space="preserve">MEF deal with </w:t>
            </w:r>
            <w:r w:rsidR="00102605" w:rsidRPr="00102605">
              <w:rPr>
                <w:rFonts w:cs="Arial"/>
                <w:color w:val="000000"/>
                <w:sz w:val="18"/>
                <w:szCs w:val="18"/>
                <w:lang w:val="en-GB"/>
              </w:rPr>
              <w:t>concessional</w:t>
            </w:r>
            <w:r w:rsidRPr="00102605">
              <w:rPr>
                <w:rFonts w:cs="Arial"/>
                <w:color w:val="000000"/>
                <w:sz w:val="18"/>
                <w:szCs w:val="18"/>
                <w:lang w:val="en-GB"/>
              </w:rPr>
              <w:t xml:space="preserve"> Loan to promote </w:t>
            </w:r>
            <w:r w:rsidR="00143368">
              <w:rPr>
                <w:rFonts w:cs="Arial"/>
                <w:color w:val="000000"/>
                <w:sz w:val="18"/>
                <w:szCs w:val="18"/>
                <w:lang w:val="en-GB"/>
              </w:rPr>
              <w:t>EVs</w:t>
            </w:r>
            <w:r w:rsidRPr="00102605">
              <w:rPr>
                <w:rFonts w:cs="Arial"/>
                <w:color w:val="000000"/>
                <w:sz w:val="18"/>
                <w:szCs w:val="18"/>
                <w:lang w:val="en-GB"/>
              </w:rPr>
              <w:t xml:space="preserve"> as PA has targets on </w:t>
            </w:r>
            <w:r w:rsidR="00102605" w:rsidRPr="00102605">
              <w:rPr>
                <w:rFonts w:cs="Arial"/>
                <w:color w:val="000000"/>
                <w:sz w:val="18"/>
                <w:szCs w:val="18"/>
                <w:lang w:val="en-GB"/>
              </w:rPr>
              <w:t>electrification</w:t>
            </w:r>
            <w:r w:rsidRPr="00102605">
              <w:rPr>
                <w:rFonts w:cs="Arial"/>
                <w:color w:val="000000"/>
                <w:sz w:val="18"/>
                <w:szCs w:val="18"/>
                <w:lang w:val="en-GB"/>
              </w:rPr>
              <w:t xml:space="preserve"> of its public fleet to 2030 (ENME). NDC last version scenarios states that 400 to 700 </w:t>
            </w:r>
            <w:proofErr w:type="spellStart"/>
            <w:r w:rsidRPr="00102605">
              <w:rPr>
                <w:rFonts w:cs="Arial"/>
                <w:color w:val="000000"/>
                <w:sz w:val="18"/>
                <w:szCs w:val="18"/>
                <w:lang w:val="en-GB"/>
              </w:rPr>
              <w:t>V</w:t>
            </w:r>
            <w:r w:rsidR="00C524AB" w:rsidRPr="00102605">
              <w:rPr>
                <w:rFonts w:cs="Arial"/>
                <w:color w:val="000000"/>
                <w:sz w:val="18"/>
                <w:szCs w:val="18"/>
                <w:lang w:val="en-GB"/>
              </w:rPr>
              <w:t>e</w:t>
            </w:r>
            <w:r w:rsidRPr="00102605">
              <w:rPr>
                <w:rFonts w:cs="Arial"/>
                <w:color w:val="000000"/>
                <w:sz w:val="18"/>
                <w:szCs w:val="18"/>
                <w:lang w:val="en-GB"/>
              </w:rPr>
              <w:t>s</w:t>
            </w:r>
            <w:proofErr w:type="spellEnd"/>
            <w:r w:rsidRPr="00102605">
              <w:rPr>
                <w:rFonts w:cs="Arial"/>
                <w:color w:val="000000"/>
                <w:sz w:val="18"/>
                <w:szCs w:val="18"/>
                <w:lang w:val="en-GB"/>
              </w:rPr>
              <w:t xml:space="preserve"> should be purchased by 2025</w:t>
            </w:r>
          </w:p>
        </w:tc>
      </w:tr>
      <w:tr w:rsidR="003647FB" w:rsidRPr="00102605" w14:paraId="39FC3161" w14:textId="77777777" w:rsidTr="00AA0C68">
        <w:trPr>
          <w:trHeight w:val="567"/>
          <w:jc w:val="center"/>
        </w:trPr>
        <w:tc>
          <w:tcPr>
            <w:tcW w:w="988" w:type="dxa"/>
            <w:vMerge w:val="restart"/>
            <w:noWrap/>
            <w:vAlign w:val="center"/>
          </w:tcPr>
          <w:p w14:paraId="5502BAC5"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Paraguay</w:t>
            </w:r>
          </w:p>
        </w:tc>
        <w:tc>
          <w:tcPr>
            <w:tcW w:w="895" w:type="dxa"/>
            <w:noWrap/>
            <w:vAlign w:val="center"/>
          </w:tcPr>
          <w:p w14:paraId="64C403D6"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Public Fleets</w:t>
            </w:r>
          </w:p>
        </w:tc>
        <w:tc>
          <w:tcPr>
            <w:tcW w:w="958" w:type="dxa"/>
            <w:noWrap/>
            <w:vAlign w:val="center"/>
          </w:tcPr>
          <w:p w14:paraId="4ED414A3" w14:textId="77777777" w:rsidR="003647FB" w:rsidRPr="00102605" w:rsidRDefault="003647FB" w:rsidP="003647FB">
            <w:pPr>
              <w:jc w:val="center"/>
              <w:rPr>
                <w:rFonts w:cs="Arial"/>
                <w:color w:val="000000"/>
                <w:sz w:val="18"/>
                <w:szCs w:val="18"/>
                <w:lang w:val="en-GB"/>
              </w:rPr>
            </w:pPr>
            <w:r w:rsidRPr="00102605" w:rsidDel="001E4D85">
              <w:rPr>
                <w:rFonts w:cs="Arial"/>
                <w:color w:val="000000"/>
                <w:sz w:val="18"/>
                <w:szCs w:val="18"/>
                <w:lang w:val="en-GB"/>
              </w:rPr>
              <w:t>300</w:t>
            </w:r>
          </w:p>
        </w:tc>
        <w:tc>
          <w:tcPr>
            <w:tcW w:w="2486" w:type="dxa"/>
            <w:vAlign w:val="center"/>
          </w:tcPr>
          <w:p w14:paraId="3928A0A2" w14:textId="77777777" w:rsidR="003647FB" w:rsidRPr="00102605" w:rsidRDefault="003647FB" w:rsidP="003647FB">
            <w:pPr>
              <w:rPr>
                <w:rFonts w:cs="Arial"/>
                <w:color w:val="000000"/>
                <w:sz w:val="18"/>
                <w:szCs w:val="18"/>
                <w:lang w:val="en-GB"/>
              </w:rPr>
            </w:pPr>
            <w:proofErr w:type="spellStart"/>
            <w:r w:rsidRPr="00102605">
              <w:rPr>
                <w:rFonts w:cs="Arial"/>
                <w:color w:val="000000"/>
                <w:sz w:val="18"/>
                <w:szCs w:val="18"/>
                <w:lang w:val="en-GB"/>
              </w:rPr>
              <w:t>Ministerio</w:t>
            </w:r>
            <w:proofErr w:type="spellEnd"/>
            <w:r w:rsidRPr="00102605">
              <w:rPr>
                <w:rFonts w:cs="Arial"/>
                <w:color w:val="000000"/>
                <w:sz w:val="18"/>
                <w:szCs w:val="18"/>
                <w:lang w:val="en-GB"/>
              </w:rPr>
              <w:t xml:space="preserve"> de Hacienda (MH)</w:t>
            </w:r>
          </w:p>
        </w:tc>
        <w:tc>
          <w:tcPr>
            <w:tcW w:w="3916" w:type="dxa"/>
            <w:vAlign w:val="center"/>
          </w:tcPr>
          <w:p w14:paraId="66A74483" w14:textId="415EC71A" w:rsidR="003647FB" w:rsidRPr="00102605" w:rsidRDefault="003647FB" w:rsidP="003647FB">
            <w:pPr>
              <w:rPr>
                <w:rFonts w:cs="Arial"/>
                <w:color w:val="000000"/>
                <w:sz w:val="18"/>
                <w:szCs w:val="18"/>
                <w:lang w:val="en-GB"/>
              </w:rPr>
            </w:pPr>
            <w:r w:rsidRPr="00102605">
              <w:rPr>
                <w:rFonts w:cs="Arial"/>
                <w:color w:val="000000"/>
                <w:sz w:val="18"/>
                <w:szCs w:val="18"/>
                <w:lang w:val="en-GB"/>
              </w:rPr>
              <w:t xml:space="preserve">MH deal with concessional loan to promote </w:t>
            </w:r>
            <w:r w:rsidR="00143368">
              <w:rPr>
                <w:rFonts w:cs="Arial"/>
                <w:color w:val="000000"/>
                <w:sz w:val="18"/>
                <w:szCs w:val="18"/>
                <w:lang w:val="en-GB"/>
              </w:rPr>
              <w:t>EVs</w:t>
            </w:r>
          </w:p>
        </w:tc>
      </w:tr>
      <w:tr w:rsidR="003647FB" w:rsidRPr="00102605" w14:paraId="083E8E02" w14:textId="77777777" w:rsidTr="00AA0C68">
        <w:trPr>
          <w:trHeight w:val="567"/>
          <w:jc w:val="center"/>
        </w:trPr>
        <w:tc>
          <w:tcPr>
            <w:tcW w:w="988" w:type="dxa"/>
            <w:vMerge/>
            <w:noWrap/>
            <w:vAlign w:val="center"/>
          </w:tcPr>
          <w:p w14:paraId="1AFF1D46" w14:textId="77777777" w:rsidR="003647FB" w:rsidRPr="00102605" w:rsidRDefault="003647FB" w:rsidP="003647FB">
            <w:pPr>
              <w:rPr>
                <w:rFonts w:cs="Arial"/>
                <w:color w:val="000000"/>
                <w:sz w:val="18"/>
                <w:szCs w:val="18"/>
                <w:lang w:val="en-GB"/>
              </w:rPr>
            </w:pPr>
          </w:p>
        </w:tc>
        <w:tc>
          <w:tcPr>
            <w:tcW w:w="895" w:type="dxa"/>
            <w:noWrap/>
            <w:vAlign w:val="center"/>
          </w:tcPr>
          <w:p w14:paraId="4812C166" w14:textId="2016A1F6" w:rsidR="003647FB" w:rsidRPr="00102605" w:rsidRDefault="00152760" w:rsidP="003647FB">
            <w:pPr>
              <w:rPr>
                <w:rFonts w:cs="Arial"/>
                <w:color w:val="000000"/>
                <w:sz w:val="18"/>
                <w:szCs w:val="18"/>
                <w:lang w:val="en-GB"/>
              </w:rPr>
            </w:pPr>
            <w:r>
              <w:rPr>
                <w:rFonts w:cs="Arial"/>
                <w:color w:val="000000"/>
                <w:sz w:val="18"/>
                <w:szCs w:val="18"/>
                <w:lang w:val="en-GB"/>
              </w:rPr>
              <w:t>private e-</w:t>
            </w:r>
            <w:r w:rsidR="003647FB" w:rsidRPr="00102605">
              <w:rPr>
                <w:rFonts w:cs="Arial"/>
                <w:color w:val="000000"/>
                <w:sz w:val="18"/>
                <w:szCs w:val="18"/>
                <w:lang w:val="en-GB"/>
              </w:rPr>
              <w:t>LCVs</w:t>
            </w:r>
          </w:p>
        </w:tc>
        <w:tc>
          <w:tcPr>
            <w:tcW w:w="958" w:type="dxa"/>
            <w:noWrap/>
            <w:vAlign w:val="center"/>
          </w:tcPr>
          <w:p w14:paraId="12923E06" w14:textId="77777777" w:rsidR="003647FB" w:rsidRPr="00102605" w:rsidRDefault="003647FB" w:rsidP="003647FB">
            <w:pPr>
              <w:jc w:val="center"/>
              <w:rPr>
                <w:rFonts w:cs="Arial"/>
                <w:color w:val="000000"/>
                <w:sz w:val="18"/>
                <w:szCs w:val="18"/>
                <w:lang w:val="en-GB"/>
              </w:rPr>
            </w:pPr>
            <w:r w:rsidRPr="00102605">
              <w:rPr>
                <w:rFonts w:cs="Arial"/>
                <w:color w:val="000000"/>
                <w:sz w:val="18"/>
                <w:szCs w:val="18"/>
                <w:lang w:val="en-GB"/>
              </w:rPr>
              <w:t>100</w:t>
            </w:r>
          </w:p>
        </w:tc>
        <w:tc>
          <w:tcPr>
            <w:tcW w:w="2486" w:type="dxa"/>
            <w:vAlign w:val="center"/>
          </w:tcPr>
          <w:p w14:paraId="0F62291A"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BNF</w:t>
            </w:r>
          </w:p>
        </w:tc>
        <w:tc>
          <w:tcPr>
            <w:tcW w:w="3916" w:type="dxa"/>
            <w:vAlign w:val="center"/>
          </w:tcPr>
          <w:p w14:paraId="43CF7168"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BNF deals concessional Loan to private LCVs operators.</w:t>
            </w:r>
          </w:p>
        </w:tc>
      </w:tr>
      <w:tr w:rsidR="003647FB" w:rsidRPr="00102605" w14:paraId="3C9A677A" w14:textId="77777777" w:rsidTr="00AA0C68">
        <w:trPr>
          <w:trHeight w:val="567"/>
          <w:jc w:val="center"/>
        </w:trPr>
        <w:tc>
          <w:tcPr>
            <w:tcW w:w="988" w:type="dxa"/>
            <w:vMerge w:val="restart"/>
            <w:noWrap/>
            <w:vAlign w:val="center"/>
          </w:tcPr>
          <w:p w14:paraId="62DA936E"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Uruguay</w:t>
            </w:r>
          </w:p>
        </w:tc>
        <w:tc>
          <w:tcPr>
            <w:tcW w:w="895" w:type="dxa"/>
            <w:noWrap/>
            <w:vAlign w:val="center"/>
          </w:tcPr>
          <w:p w14:paraId="7656BF58"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Public Fleets</w:t>
            </w:r>
          </w:p>
        </w:tc>
        <w:tc>
          <w:tcPr>
            <w:tcW w:w="958" w:type="dxa"/>
            <w:noWrap/>
            <w:vAlign w:val="center"/>
          </w:tcPr>
          <w:p w14:paraId="78F791BF" w14:textId="77777777" w:rsidR="003647FB" w:rsidRPr="00102605" w:rsidRDefault="003647FB" w:rsidP="003647FB">
            <w:pPr>
              <w:jc w:val="center"/>
              <w:rPr>
                <w:rFonts w:cs="Arial"/>
                <w:color w:val="000000"/>
                <w:sz w:val="18"/>
                <w:szCs w:val="18"/>
                <w:lang w:val="en-GB"/>
              </w:rPr>
            </w:pPr>
            <w:r w:rsidRPr="00102605">
              <w:rPr>
                <w:rFonts w:cs="Arial"/>
                <w:color w:val="000000"/>
                <w:sz w:val="18"/>
                <w:szCs w:val="18"/>
                <w:lang w:val="en-GB"/>
              </w:rPr>
              <w:t>200</w:t>
            </w:r>
          </w:p>
        </w:tc>
        <w:tc>
          <w:tcPr>
            <w:tcW w:w="2486" w:type="dxa"/>
            <w:vAlign w:val="center"/>
          </w:tcPr>
          <w:p w14:paraId="4C9F331D"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MEF</w:t>
            </w:r>
          </w:p>
        </w:tc>
        <w:tc>
          <w:tcPr>
            <w:tcW w:w="3916" w:type="dxa"/>
            <w:vAlign w:val="center"/>
          </w:tcPr>
          <w:p w14:paraId="1278BA93" w14:textId="3C523876" w:rsidR="003647FB" w:rsidRPr="00102605" w:rsidRDefault="003647FB" w:rsidP="003647FB">
            <w:pPr>
              <w:rPr>
                <w:rFonts w:cs="Arial"/>
                <w:color w:val="000000"/>
                <w:sz w:val="18"/>
                <w:szCs w:val="18"/>
                <w:lang w:val="en-GB"/>
              </w:rPr>
            </w:pPr>
            <w:r w:rsidRPr="00102605">
              <w:rPr>
                <w:rFonts w:cs="Arial"/>
                <w:color w:val="000000"/>
                <w:sz w:val="18"/>
                <w:szCs w:val="18"/>
                <w:lang w:val="en-GB"/>
              </w:rPr>
              <w:t xml:space="preserve">MEF deal with concessional Loan to promote </w:t>
            </w:r>
            <w:r w:rsidR="00143368">
              <w:rPr>
                <w:rFonts w:cs="Arial"/>
                <w:color w:val="000000"/>
                <w:sz w:val="18"/>
                <w:szCs w:val="18"/>
                <w:lang w:val="en-GB"/>
              </w:rPr>
              <w:t>EVs</w:t>
            </w:r>
            <w:r w:rsidRPr="00102605">
              <w:rPr>
                <w:rFonts w:cs="Arial"/>
                <w:color w:val="000000"/>
                <w:sz w:val="18"/>
                <w:szCs w:val="18"/>
                <w:lang w:val="en-GB"/>
              </w:rPr>
              <w:t xml:space="preserve"> </w:t>
            </w:r>
          </w:p>
        </w:tc>
      </w:tr>
      <w:tr w:rsidR="003647FB" w:rsidRPr="00102605" w14:paraId="63794958" w14:textId="77777777" w:rsidTr="00AA0C68">
        <w:trPr>
          <w:trHeight w:val="567"/>
          <w:jc w:val="center"/>
        </w:trPr>
        <w:tc>
          <w:tcPr>
            <w:tcW w:w="988" w:type="dxa"/>
            <w:vMerge/>
            <w:noWrap/>
            <w:vAlign w:val="center"/>
          </w:tcPr>
          <w:p w14:paraId="0A809781" w14:textId="77777777" w:rsidR="003647FB" w:rsidRPr="00102605" w:rsidRDefault="003647FB" w:rsidP="003647FB">
            <w:pPr>
              <w:rPr>
                <w:rFonts w:cs="Arial"/>
                <w:color w:val="000000"/>
                <w:sz w:val="18"/>
                <w:szCs w:val="18"/>
                <w:lang w:val="en-GB"/>
              </w:rPr>
            </w:pPr>
          </w:p>
        </w:tc>
        <w:tc>
          <w:tcPr>
            <w:tcW w:w="895" w:type="dxa"/>
            <w:noWrap/>
            <w:vAlign w:val="center"/>
          </w:tcPr>
          <w:p w14:paraId="0240DDB9" w14:textId="58AD46D0" w:rsidR="003647FB" w:rsidRPr="00102605" w:rsidRDefault="00152760" w:rsidP="003647FB">
            <w:pPr>
              <w:rPr>
                <w:rFonts w:cs="Arial"/>
                <w:color w:val="000000"/>
                <w:sz w:val="18"/>
                <w:szCs w:val="18"/>
                <w:lang w:val="en-GB"/>
              </w:rPr>
            </w:pPr>
            <w:r>
              <w:rPr>
                <w:rFonts w:cs="Arial"/>
                <w:color w:val="000000"/>
                <w:sz w:val="18"/>
                <w:szCs w:val="18"/>
                <w:lang w:val="en-GB"/>
              </w:rPr>
              <w:t>private e-</w:t>
            </w:r>
            <w:r w:rsidR="003647FB" w:rsidRPr="00102605">
              <w:rPr>
                <w:rFonts w:cs="Arial"/>
                <w:color w:val="000000"/>
                <w:sz w:val="18"/>
                <w:szCs w:val="18"/>
                <w:lang w:val="en-GB"/>
              </w:rPr>
              <w:t>LCVs</w:t>
            </w:r>
          </w:p>
        </w:tc>
        <w:tc>
          <w:tcPr>
            <w:tcW w:w="958" w:type="dxa"/>
            <w:noWrap/>
            <w:vAlign w:val="center"/>
          </w:tcPr>
          <w:p w14:paraId="0D86BBFB" w14:textId="77777777" w:rsidR="003647FB" w:rsidRPr="00102605" w:rsidRDefault="003647FB" w:rsidP="003647FB">
            <w:pPr>
              <w:jc w:val="center"/>
              <w:rPr>
                <w:rFonts w:cs="Arial"/>
                <w:color w:val="000000"/>
                <w:sz w:val="18"/>
                <w:szCs w:val="18"/>
                <w:lang w:val="en-GB"/>
              </w:rPr>
            </w:pPr>
            <w:r w:rsidRPr="00102605">
              <w:rPr>
                <w:rFonts w:cs="Arial"/>
                <w:color w:val="000000"/>
                <w:sz w:val="18"/>
                <w:szCs w:val="18"/>
                <w:lang w:val="en-GB"/>
              </w:rPr>
              <w:t>100</w:t>
            </w:r>
          </w:p>
        </w:tc>
        <w:tc>
          <w:tcPr>
            <w:tcW w:w="2486" w:type="dxa"/>
            <w:vAlign w:val="center"/>
          </w:tcPr>
          <w:p w14:paraId="04E64164"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BROU</w:t>
            </w:r>
          </w:p>
        </w:tc>
        <w:tc>
          <w:tcPr>
            <w:tcW w:w="3916" w:type="dxa"/>
            <w:vAlign w:val="center"/>
          </w:tcPr>
          <w:p w14:paraId="10673C19" w14:textId="77777777" w:rsidR="003647FB" w:rsidRPr="00102605" w:rsidRDefault="003647FB" w:rsidP="003647FB">
            <w:pPr>
              <w:rPr>
                <w:rFonts w:cs="Arial"/>
                <w:color w:val="000000"/>
                <w:sz w:val="18"/>
                <w:szCs w:val="18"/>
                <w:lang w:val="en-GB"/>
              </w:rPr>
            </w:pPr>
            <w:r w:rsidRPr="00102605">
              <w:rPr>
                <w:rFonts w:cs="Arial"/>
                <w:color w:val="000000"/>
                <w:sz w:val="18"/>
                <w:szCs w:val="18"/>
                <w:lang w:val="en-GB"/>
              </w:rPr>
              <w:t>BROU deals concessional loans to private LCVs operators. Private operators will come from MOVEs ongoing pilot program as first</w:t>
            </w:r>
          </w:p>
        </w:tc>
      </w:tr>
    </w:tbl>
    <w:p w14:paraId="1D5D67BB" w14:textId="1CC6EDB9" w:rsidR="002E6F78" w:rsidRDefault="002E6F78" w:rsidP="00D07B6F">
      <w:pPr>
        <w:spacing w:after="0" w:line="240" w:lineRule="auto"/>
        <w:jc w:val="center"/>
        <w:rPr>
          <w:i/>
          <w:iCs/>
          <w:sz w:val="20"/>
          <w:szCs w:val="20"/>
        </w:rPr>
      </w:pPr>
      <w:r w:rsidRPr="00D07B6F">
        <w:rPr>
          <w:i/>
          <w:iCs/>
          <w:sz w:val="20"/>
          <w:szCs w:val="20"/>
        </w:rPr>
        <w:t>Source: Annex 2 of CAF “E-Motion: E-Mobility and Low Carbon Transportation” GCF Funding Proposal</w:t>
      </w:r>
    </w:p>
    <w:p w14:paraId="0FA73A85" w14:textId="77777777" w:rsidR="009D3D21" w:rsidRDefault="009D3D21" w:rsidP="00D07B6F">
      <w:pPr>
        <w:spacing w:after="0" w:line="240" w:lineRule="auto"/>
        <w:jc w:val="center"/>
        <w:rPr>
          <w:i/>
          <w:iCs/>
          <w:sz w:val="20"/>
          <w:szCs w:val="20"/>
        </w:rPr>
      </w:pPr>
    </w:p>
    <w:p w14:paraId="3E9EB95B" w14:textId="423023BA" w:rsidR="00621E65" w:rsidRDefault="00621E65" w:rsidP="00D07B6F">
      <w:pPr>
        <w:spacing w:after="0" w:line="240" w:lineRule="auto"/>
        <w:jc w:val="center"/>
        <w:rPr>
          <w:i/>
          <w:iCs/>
          <w:sz w:val="20"/>
          <w:szCs w:val="20"/>
        </w:rPr>
      </w:pPr>
    </w:p>
    <w:p w14:paraId="4BD77D4C" w14:textId="149E83A2" w:rsidR="00D76B9B" w:rsidRDefault="00D76B9B" w:rsidP="00D07B6F">
      <w:pPr>
        <w:spacing w:after="0" w:line="240" w:lineRule="auto"/>
        <w:jc w:val="center"/>
        <w:rPr>
          <w:i/>
          <w:iCs/>
          <w:sz w:val="20"/>
          <w:szCs w:val="20"/>
        </w:rPr>
      </w:pPr>
    </w:p>
    <w:p w14:paraId="202C9D05" w14:textId="1A3ED2FA" w:rsidR="00D76B9B" w:rsidRDefault="00D76B9B" w:rsidP="00D07B6F">
      <w:pPr>
        <w:spacing w:after="0" w:line="240" w:lineRule="auto"/>
        <w:jc w:val="center"/>
        <w:rPr>
          <w:i/>
          <w:iCs/>
          <w:sz w:val="20"/>
          <w:szCs w:val="20"/>
        </w:rPr>
      </w:pPr>
    </w:p>
    <w:p w14:paraId="77308F6B" w14:textId="4C13FAAA" w:rsidR="00D76B9B" w:rsidRDefault="00D76B9B" w:rsidP="00D07B6F">
      <w:pPr>
        <w:spacing w:after="0" w:line="240" w:lineRule="auto"/>
        <w:jc w:val="center"/>
        <w:rPr>
          <w:i/>
          <w:iCs/>
          <w:sz w:val="20"/>
          <w:szCs w:val="20"/>
        </w:rPr>
      </w:pPr>
    </w:p>
    <w:p w14:paraId="35843170" w14:textId="016D25A7" w:rsidR="00D76B9B" w:rsidRDefault="00D76B9B" w:rsidP="00D07B6F">
      <w:pPr>
        <w:spacing w:after="0" w:line="240" w:lineRule="auto"/>
        <w:jc w:val="center"/>
        <w:rPr>
          <w:i/>
          <w:iCs/>
          <w:sz w:val="20"/>
          <w:szCs w:val="20"/>
        </w:rPr>
      </w:pPr>
    </w:p>
    <w:p w14:paraId="534A34E2" w14:textId="5AA8E7BC" w:rsidR="00D76B9B" w:rsidRDefault="00D76B9B" w:rsidP="00D07B6F">
      <w:pPr>
        <w:spacing w:after="0" w:line="240" w:lineRule="auto"/>
        <w:jc w:val="center"/>
        <w:rPr>
          <w:i/>
          <w:iCs/>
          <w:sz w:val="20"/>
          <w:szCs w:val="20"/>
        </w:rPr>
      </w:pPr>
    </w:p>
    <w:p w14:paraId="1CCEEF0A" w14:textId="76C187AC" w:rsidR="00D76B9B" w:rsidRDefault="00D76B9B" w:rsidP="00D07B6F">
      <w:pPr>
        <w:spacing w:after="0" w:line="240" w:lineRule="auto"/>
        <w:jc w:val="center"/>
        <w:rPr>
          <w:i/>
          <w:iCs/>
          <w:sz w:val="20"/>
          <w:szCs w:val="20"/>
        </w:rPr>
      </w:pPr>
    </w:p>
    <w:p w14:paraId="797EB80F" w14:textId="77777777" w:rsidR="00D76B9B" w:rsidRDefault="00D76B9B" w:rsidP="00D07B6F">
      <w:pPr>
        <w:spacing w:after="0" w:line="240" w:lineRule="auto"/>
        <w:jc w:val="center"/>
        <w:rPr>
          <w:i/>
          <w:iCs/>
          <w:sz w:val="20"/>
          <w:szCs w:val="20"/>
        </w:rPr>
      </w:pPr>
    </w:p>
    <w:p w14:paraId="433F4CA8" w14:textId="77777777" w:rsidR="00621E65" w:rsidRDefault="00621E65" w:rsidP="00D07B6F">
      <w:pPr>
        <w:spacing w:after="0" w:line="240" w:lineRule="auto"/>
        <w:jc w:val="center"/>
        <w:rPr>
          <w:i/>
          <w:iCs/>
          <w:sz w:val="20"/>
          <w:szCs w:val="20"/>
        </w:rPr>
      </w:pPr>
    </w:p>
    <w:p w14:paraId="5499FDF3" w14:textId="65A117CA" w:rsidR="009D3D21" w:rsidRDefault="009D3D21" w:rsidP="00AA0C68">
      <w:pPr>
        <w:spacing w:after="0" w:line="240" w:lineRule="auto"/>
        <w:jc w:val="center"/>
      </w:pPr>
      <w:bookmarkStart w:id="7" w:name="_Ref113614375"/>
      <w:r>
        <w:t xml:space="preserve">Table </w:t>
      </w:r>
      <w:r w:rsidR="00203008">
        <w:fldChar w:fldCharType="begin"/>
      </w:r>
      <w:r w:rsidR="00203008">
        <w:instrText xml:space="preserve"> SEQ Table \* ARABIC </w:instrText>
      </w:r>
      <w:r w:rsidR="00203008">
        <w:fldChar w:fldCharType="separate"/>
      </w:r>
      <w:r w:rsidR="00072B3C">
        <w:rPr>
          <w:noProof/>
        </w:rPr>
        <w:t>4</w:t>
      </w:r>
      <w:r w:rsidR="00203008">
        <w:rPr>
          <w:noProof/>
        </w:rPr>
        <w:fldChar w:fldCharType="end"/>
      </w:r>
      <w:bookmarkEnd w:id="7"/>
      <w:r>
        <w:t xml:space="preserve">: </w:t>
      </w:r>
      <w:r w:rsidR="005F2BA0">
        <w:t>I</w:t>
      </w:r>
      <w:r>
        <w:t>ndicative e-LCV</w:t>
      </w:r>
      <w:r w:rsidR="000F6D05">
        <w:t xml:space="preserve"> sub-projects to be financed</w:t>
      </w:r>
    </w:p>
    <w:tbl>
      <w:tblPr>
        <w:tblStyle w:val="Tablaconcuadrcula"/>
        <w:tblW w:w="9208" w:type="dxa"/>
        <w:tblLayout w:type="fixed"/>
        <w:tblLook w:val="04A0" w:firstRow="1" w:lastRow="0" w:firstColumn="1" w:lastColumn="0" w:noHBand="0" w:noVBand="1"/>
      </w:tblPr>
      <w:tblGrid>
        <w:gridCol w:w="988"/>
        <w:gridCol w:w="1275"/>
        <w:gridCol w:w="992"/>
        <w:gridCol w:w="992"/>
        <w:gridCol w:w="993"/>
        <w:gridCol w:w="992"/>
        <w:gridCol w:w="993"/>
        <w:gridCol w:w="1983"/>
      </w:tblGrid>
      <w:tr w:rsidR="00283B3F" w:rsidRPr="003629C7" w14:paraId="0D7F461D" w14:textId="77777777" w:rsidTr="00871792">
        <w:trPr>
          <w:trHeight w:val="212"/>
        </w:trPr>
        <w:tc>
          <w:tcPr>
            <w:tcW w:w="988" w:type="dxa"/>
            <w:vMerge w:val="restart"/>
            <w:shd w:val="clear" w:color="auto" w:fill="D9E2F3" w:themeFill="accent1" w:themeFillTint="33"/>
            <w:vAlign w:val="center"/>
          </w:tcPr>
          <w:p w14:paraId="3696733B" w14:textId="77777777" w:rsidR="00283B3F" w:rsidRPr="00C34C6C" w:rsidRDefault="00283B3F" w:rsidP="00AF2AB6">
            <w:pPr>
              <w:pStyle w:val="Sinespaciado1"/>
              <w:jc w:val="center"/>
              <w:rPr>
                <w:rFonts w:ascii="Arial" w:hAnsi="Arial" w:cs="Arial"/>
                <w:b/>
                <w:bCs/>
                <w:sz w:val="18"/>
                <w:szCs w:val="18"/>
              </w:rPr>
            </w:pPr>
            <w:r w:rsidRPr="00C34C6C">
              <w:rPr>
                <w:rFonts w:ascii="Arial" w:hAnsi="Arial" w:cs="Arial"/>
                <w:b/>
                <w:bCs/>
                <w:sz w:val="18"/>
                <w:szCs w:val="18"/>
              </w:rPr>
              <w:t>Country</w:t>
            </w:r>
          </w:p>
        </w:tc>
        <w:tc>
          <w:tcPr>
            <w:tcW w:w="1275" w:type="dxa"/>
            <w:vMerge w:val="restart"/>
            <w:shd w:val="clear" w:color="auto" w:fill="D9E2F3" w:themeFill="accent1" w:themeFillTint="33"/>
            <w:vAlign w:val="center"/>
          </w:tcPr>
          <w:p w14:paraId="44CF6F5B" w14:textId="77777777" w:rsidR="00283B3F" w:rsidRPr="00C34C6C" w:rsidRDefault="00283B3F" w:rsidP="00AF2AB6">
            <w:pPr>
              <w:pStyle w:val="Sinespaciado1"/>
              <w:jc w:val="center"/>
              <w:rPr>
                <w:rFonts w:ascii="Arial" w:hAnsi="Arial" w:cs="Arial"/>
                <w:b/>
                <w:bCs/>
                <w:sz w:val="18"/>
                <w:szCs w:val="18"/>
              </w:rPr>
            </w:pPr>
            <w:r>
              <w:rPr>
                <w:rFonts w:ascii="Arial" w:hAnsi="Arial" w:cs="Arial"/>
                <w:b/>
                <w:bCs/>
                <w:sz w:val="18"/>
                <w:szCs w:val="18"/>
              </w:rPr>
              <w:t>E-LCVs</w:t>
            </w:r>
          </w:p>
        </w:tc>
        <w:tc>
          <w:tcPr>
            <w:tcW w:w="4962" w:type="dxa"/>
            <w:gridSpan w:val="5"/>
            <w:shd w:val="clear" w:color="auto" w:fill="D9E2F3" w:themeFill="accent1" w:themeFillTint="33"/>
            <w:vAlign w:val="center"/>
          </w:tcPr>
          <w:p w14:paraId="64EFE1F4" w14:textId="77777777" w:rsidR="00283B3F" w:rsidRPr="00C34C6C" w:rsidRDefault="00283B3F" w:rsidP="00323954">
            <w:pPr>
              <w:pStyle w:val="Sinespaciado1"/>
              <w:jc w:val="center"/>
              <w:rPr>
                <w:rFonts w:ascii="Arial" w:hAnsi="Arial" w:cs="Arial"/>
                <w:b/>
                <w:bCs/>
                <w:sz w:val="18"/>
                <w:szCs w:val="18"/>
              </w:rPr>
            </w:pPr>
            <w:r w:rsidRPr="00C34C6C">
              <w:rPr>
                <w:rFonts w:ascii="Arial" w:hAnsi="Arial" w:cs="Arial"/>
                <w:b/>
                <w:bCs/>
                <w:sz w:val="18"/>
                <w:szCs w:val="18"/>
              </w:rPr>
              <w:t>CAPEX Finance in USD</w:t>
            </w:r>
            <w:r>
              <w:rPr>
                <w:rFonts w:ascii="Arial" w:hAnsi="Arial" w:cs="Arial"/>
                <w:b/>
                <w:bCs/>
                <w:sz w:val="18"/>
                <w:szCs w:val="18"/>
              </w:rPr>
              <w:t xml:space="preserve"> million</w:t>
            </w:r>
            <w:r w:rsidRPr="00C34C6C">
              <w:rPr>
                <w:rFonts w:ascii="Arial" w:hAnsi="Arial" w:cs="Arial"/>
                <w:b/>
                <w:bCs/>
                <w:sz w:val="18"/>
                <w:szCs w:val="18"/>
              </w:rPr>
              <w:t xml:space="preserve"> of Program Buses</w:t>
            </w:r>
          </w:p>
        </w:tc>
        <w:tc>
          <w:tcPr>
            <w:tcW w:w="1983" w:type="dxa"/>
            <w:vMerge w:val="restart"/>
            <w:shd w:val="clear" w:color="auto" w:fill="D9E2F3" w:themeFill="accent1" w:themeFillTint="33"/>
            <w:vAlign w:val="center"/>
          </w:tcPr>
          <w:p w14:paraId="61BC3D0F" w14:textId="77777777" w:rsidR="00283B3F" w:rsidRPr="00C34C6C" w:rsidRDefault="00283B3F">
            <w:pPr>
              <w:pStyle w:val="Sinespaciado1"/>
              <w:jc w:val="center"/>
              <w:rPr>
                <w:rFonts w:ascii="Arial" w:hAnsi="Arial" w:cs="Arial"/>
                <w:b/>
                <w:bCs/>
                <w:sz w:val="18"/>
                <w:szCs w:val="18"/>
              </w:rPr>
            </w:pPr>
            <w:r>
              <w:rPr>
                <w:rFonts w:ascii="Arial" w:hAnsi="Arial" w:cs="Arial"/>
                <w:b/>
                <w:bCs/>
                <w:sz w:val="18"/>
                <w:szCs w:val="18"/>
              </w:rPr>
              <w:t>Transport Operator</w:t>
            </w:r>
          </w:p>
        </w:tc>
      </w:tr>
      <w:tr w:rsidR="00283B3F" w:rsidRPr="003629C7" w14:paraId="04155F0F" w14:textId="77777777" w:rsidTr="00D225EE">
        <w:trPr>
          <w:trHeight w:val="638"/>
        </w:trPr>
        <w:tc>
          <w:tcPr>
            <w:tcW w:w="988" w:type="dxa"/>
            <w:vMerge/>
          </w:tcPr>
          <w:p w14:paraId="66B17BF5" w14:textId="77777777" w:rsidR="00283B3F" w:rsidRPr="00C34C6C" w:rsidRDefault="00283B3F" w:rsidP="00283B3F">
            <w:pPr>
              <w:pStyle w:val="Sinespaciado1"/>
              <w:jc w:val="center"/>
              <w:rPr>
                <w:rFonts w:ascii="Arial" w:hAnsi="Arial" w:cs="Arial"/>
                <w:b/>
                <w:bCs/>
                <w:szCs w:val="20"/>
              </w:rPr>
            </w:pPr>
          </w:p>
        </w:tc>
        <w:tc>
          <w:tcPr>
            <w:tcW w:w="1275" w:type="dxa"/>
            <w:vMerge/>
          </w:tcPr>
          <w:p w14:paraId="41ED5366" w14:textId="77777777" w:rsidR="00283B3F" w:rsidRPr="00C34C6C" w:rsidRDefault="00283B3F" w:rsidP="00283B3F">
            <w:pPr>
              <w:pStyle w:val="Sinespaciado1"/>
              <w:jc w:val="center"/>
              <w:rPr>
                <w:rFonts w:ascii="Arial" w:hAnsi="Arial" w:cs="Arial"/>
                <w:b/>
                <w:bCs/>
                <w:szCs w:val="20"/>
              </w:rPr>
            </w:pPr>
          </w:p>
        </w:tc>
        <w:tc>
          <w:tcPr>
            <w:tcW w:w="992" w:type="dxa"/>
            <w:shd w:val="clear" w:color="auto" w:fill="D9E2F3" w:themeFill="accent1" w:themeFillTint="33"/>
          </w:tcPr>
          <w:p w14:paraId="48A55163" w14:textId="77777777" w:rsidR="00283B3F" w:rsidRPr="00C34C6C" w:rsidRDefault="00283B3F" w:rsidP="00283B3F">
            <w:pPr>
              <w:pStyle w:val="Sinespaciado1"/>
              <w:jc w:val="center"/>
              <w:rPr>
                <w:rFonts w:ascii="Arial" w:hAnsi="Arial" w:cs="Arial"/>
                <w:b/>
                <w:bCs/>
                <w:sz w:val="18"/>
                <w:szCs w:val="18"/>
              </w:rPr>
            </w:pPr>
            <w:r w:rsidRPr="00C34C6C">
              <w:rPr>
                <w:rFonts w:ascii="Arial" w:hAnsi="Arial" w:cs="Arial"/>
                <w:b/>
                <w:bCs/>
                <w:sz w:val="18"/>
                <w:szCs w:val="18"/>
              </w:rPr>
              <w:t>Total CAPEX</w:t>
            </w:r>
          </w:p>
        </w:tc>
        <w:tc>
          <w:tcPr>
            <w:tcW w:w="992" w:type="dxa"/>
            <w:shd w:val="clear" w:color="auto" w:fill="D9E2F3" w:themeFill="accent1" w:themeFillTint="33"/>
          </w:tcPr>
          <w:p w14:paraId="09301AEF" w14:textId="77777777" w:rsidR="00283B3F" w:rsidRPr="00C34C6C" w:rsidRDefault="00283B3F" w:rsidP="00283B3F">
            <w:pPr>
              <w:pStyle w:val="Sinespaciado1"/>
              <w:jc w:val="center"/>
              <w:rPr>
                <w:rFonts w:ascii="Arial" w:hAnsi="Arial" w:cs="Arial"/>
                <w:b/>
                <w:bCs/>
                <w:sz w:val="18"/>
                <w:szCs w:val="18"/>
              </w:rPr>
            </w:pPr>
            <w:r w:rsidRPr="00C34C6C">
              <w:rPr>
                <w:rFonts w:ascii="Arial" w:hAnsi="Arial" w:cs="Arial"/>
                <w:b/>
                <w:bCs/>
                <w:sz w:val="18"/>
                <w:szCs w:val="18"/>
              </w:rPr>
              <w:t>GCF loan</w:t>
            </w:r>
          </w:p>
        </w:tc>
        <w:tc>
          <w:tcPr>
            <w:tcW w:w="993" w:type="dxa"/>
            <w:shd w:val="clear" w:color="auto" w:fill="D9E2F3" w:themeFill="accent1" w:themeFillTint="33"/>
          </w:tcPr>
          <w:p w14:paraId="1585FFBE" w14:textId="77777777" w:rsidR="00283B3F" w:rsidRPr="00C34C6C" w:rsidRDefault="00283B3F" w:rsidP="00283B3F">
            <w:pPr>
              <w:pStyle w:val="Sinespaciado1"/>
              <w:jc w:val="center"/>
              <w:rPr>
                <w:rFonts w:ascii="Arial" w:hAnsi="Arial" w:cs="Arial"/>
                <w:b/>
                <w:bCs/>
                <w:sz w:val="18"/>
                <w:szCs w:val="18"/>
              </w:rPr>
            </w:pPr>
            <w:r w:rsidRPr="00C34C6C">
              <w:rPr>
                <w:rFonts w:ascii="Arial" w:hAnsi="Arial" w:cs="Arial"/>
                <w:b/>
                <w:bCs/>
                <w:sz w:val="18"/>
                <w:szCs w:val="18"/>
              </w:rPr>
              <w:t>GCF FA grant</w:t>
            </w:r>
          </w:p>
        </w:tc>
        <w:tc>
          <w:tcPr>
            <w:tcW w:w="992" w:type="dxa"/>
            <w:shd w:val="clear" w:color="auto" w:fill="D9E2F3" w:themeFill="accent1" w:themeFillTint="33"/>
          </w:tcPr>
          <w:p w14:paraId="50B0E959" w14:textId="77777777" w:rsidR="00283B3F" w:rsidRPr="00C34C6C" w:rsidRDefault="00283B3F" w:rsidP="00283B3F">
            <w:pPr>
              <w:pStyle w:val="Sinespaciado1"/>
              <w:jc w:val="center"/>
              <w:rPr>
                <w:rFonts w:ascii="Arial" w:hAnsi="Arial" w:cs="Arial"/>
                <w:b/>
                <w:bCs/>
                <w:sz w:val="18"/>
                <w:szCs w:val="18"/>
              </w:rPr>
            </w:pPr>
            <w:r w:rsidRPr="00C34C6C">
              <w:rPr>
                <w:rFonts w:ascii="Arial" w:hAnsi="Arial" w:cs="Arial"/>
                <w:b/>
                <w:bCs/>
                <w:sz w:val="18"/>
                <w:szCs w:val="18"/>
              </w:rPr>
              <w:t>CAF</w:t>
            </w:r>
          </w:p>
        </w:tc>
        <w:tc>
          <w:tcPr>
            <w:tcW w:w="993" w:type="dxa"/>
            <w:shd w:val="clear" w:color="auto" w:fill="D9E2F3" w:themeFill="accent1" w:themeFillTint="33"/>
          </w:tcPr>
          <w:p w14:paraId="2DF4E68E" w14:textId="77777777" w:rsidR="00283B3F" w:rsidRPr="00C34C6C" w:rsidRDefault="00283B3F" w:rsidP="00283B3F">
            <w:pPr>
              <w:pStyle w:val="Sinespaciado1"/>
              <w:jc w:val="center"/>
              <w:rPr>
                <w:rFonts w:ascii="Arial" w:hAnsi="Arial" w:cs="Arial"/>
                <w:b/>
                <w:bCs/>
                <w:sz w:val="18"/>
                <w:szCs w:val="18"/>
              </w:rPr>
            </w:pPr>
            <w:r w:rsidRPr="00C34C6C">
              <w:rPr>
                <w:rFonts w:ascii="Arial" w:hAnsi="Arial" w:cs="Arial"/>
                <w:b/>
                <w:bCs/>
                <w:sz w:val="18"/>
                <w:szCs w:val="18"/>
              </w:rPr>
              <w:t>National finance / equity</w:t>
            </w:r>
          </w:p>
        </w:tc>
        <w:tc>
          <w:tcPr>
            <w:tcW w:w="1983" w:type="dxa"/>
            <w:vMerge/>
          </w:tcPr>
          <w:p w14:paraId="273DACA8" w14:textId="77777777" w:rsidR="00283B3F" w:rsidRPr="00C34C6C" w:rsidRDefault="00283B3F" w:rsidP="00283B3F">
            <w:pPr>
              <w:pStyle w:val="Sinespaciado1"/>
              <w:jc w:val="center"/>
              <w:rPr>
                <w:rFonts w:ascii="Arial" w:hAnsi="Arial" w:cs="Arial"/>
                <w:b/>
                <w:bCs/>
                <w:szCs w:val="20"/>
              </w:rPr>
            </w:pPr>
          </w:p>
        </w:tc>
      </w:tr>
      <w:tr w:rsidR="00283B3F" w:rsidRPr="003629C7" w14:paraId="6BC6980E" w14:textId="77777777" w:rsidTr="00AA0C68">
        <w:trPr>
          <w:trHeight w:val="418"/>
        </w:trPr>
        <w:tc>
          <w:tcPr>
            <w:tcW w:w="988" w:type="dxa"/>
          </w:tcPr>
          <w:p w14:paraId="42EC7480" w14:textId="77777777" w:rsidR="00283B3F" w:rsidRPr="00C34C6C" w:rsidRDefault="00283B3F" w:rsidP="00283B3F">
            <w:pPr>
              <w:pStyle w:val="Sinespaciado1"/>
              <w:jc w:val="left"/>
              <w:rPr>
                <w:rFonts w:ascii="Arial" w:hAnsi="Arial" w:cs="Arial"/>
                <w:sz w:val="18"/>
                <w:szCs w:val="18"/>
              </w:rPr>
            </w:pPr>
            <w:r>
              <w:rPr>
                <w:rFonts w:ascii="Arial" w:hAnsi="Arial" w:cs="Arial"/>
                <w:sz w:val="18"/>
                <w:szCs w:val="18"/>
              </w:rPr>
              <w:t>Panama</w:t>
            </w:r>
          </w:p>
        </w:tc>
        <w:tc>
          <w:tcPr>
            <w:tcW w:w="1275" w:type="dxa"/>
          </w:tcPr>
          <w:p w14:paraId="043E393B"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50</w:t>
            </w:r>
          </w:p>
        </w:tc>
        <w:tc>
          <w:tcPr>
            <w:tcW w:w="992" w:type="dxa"/>
          </w:tcPr>
          <w:p w14:paraId="62264108"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1.8</w:t>
            </w:r>
          </w:p>
        </w:tc>
        <w:tc>
          <w:tcPr>
            <w:tcW w:w="992" w:type="dxa"/>
          </w:tcPr>
          <w:p w14:paraId="7099BD60"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0.57</w:t>
            </w:r>
          </w:p>
        </w:tc>
        <w:tc>
          <w:tcPr>
            <w:tcW w:w="993" w:type="dxa"/>
          </w:tcPr>
          <w:p w14:paraId="5502F42D" w14:textId="77777777" w:rsidR="00283B3F" w:rsidRPr="00C34C6C" w:rsidRDefault="00283B3F" w:rsidP="00283B3F">
            <w:pPr>
              <w:pStyle w:val="Sinespaciado1"/>
              <w:jc w:val="center"/>
              <w:rPr>
                <w:rFonts w:ascii="Arial" w:hAnsi="Arial" w:cs="Arial"/>
                <w:sz w:val="18"/>
                <w:szCs w:val="18"/>
              </w:rPr>
            </w:pPr>
          </w:p>
        </w:tc>
        <w:tc>
          <w:tcPr>
            <w:tcW w:w="992" w:type="dxa"/>
          </w:tcPr>
          <w:p w14:paraId="6D5E3631" w14:textId="77777777" w:rsidR="00283B3F" w:rsidRPr="00E07D6A" w:rsidRDefault="00283B3F" w:rsidP="00283B3F">
            <w:pPr>
              <w:pStyle w:val="Sinespaciado1"/>
              <w:jc w:val="center"/>
              <w:rPr>
                <w:rFonts w:ascii="Arial" w:hAnsi="Arial" w:cs="Arial"/>
                <w:sz w:val="18"/>
                <w:szCs w:val="18"/>
              </w:rPr>
            </w:pPr>
            <w:r w:rsidRPr="00E07D6A">
              <w:rPr>
                <w:rFonts w:ascii="Arial" w:hAnsi="Arial" w:cs="Arial"/>
                <w:sz w:val="18"/>
                <w:szCs w:val="18"/>
              </w:rPr>
              <w:t>1.1</w:t>
            </w:r>
          </w:p>
        </w:tc>
        <w:tc>
          <w:tcPr>
            <w:tcW w:w="993" w:type="dxa"/>
          </w:tcPr>
          <w:p w14:paraId="5251D974"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0.18</w:t>
            </w:r>
          </w:p>
        </w:tc>
        <w:tc>
          <w:tcPr>
            <w:tcW w:w="1983" w:type="dxa"/>
          </w:tcPr>
          <w:p w14:paraId="29102776"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Private companies like Riba Smith</w:t>
            </w:r>
          </w:p>
        </w:tc>
      </w:tr>
      <w:tr w:rsidR="00283B3F" w:rsidRPr="003629C7" w14:paraId="319C7DA1" w14:textId="77777777" w:rsidTr="00D225EE">
        <w:trPr>
          <w:trHeight w:val="415"/>
        </w:trPr>
        <w:tc>
          <w:tcPr>
            <w:tcW w:w="988" w:type="dxa"/>
          </w:tcPr>
          <w:p w14:paraId="3CC44826" w14:textId="77777777" w:rsidR="00283B3F" w:rsidRPr="00C34C6C" w:rsidRDefault="00283B3F" w:rsidP="00283B3F">
            <w:pPr>
              <w:pStyle w:val="Sinespaciado1"/>
              <w:jc w:val="left"/>
              <w:rPr>
                <w:rFonts w:ascii="Arial" w:hAnsi="Arial" w:cs="Arial"/>
                <w:sz w:val="18"/>
                <w:szCs w:val="18"/>
              </w:rPr>
            </w:pPr>
            <w:r>
              <w:rPr>
                <w:rFonts w:ascii="Arial" w:hAnsi="Arial" w:cs="Arial"/>
                <w:sz w:val="18"/>
                <w:szCs w:val="18"/>
              </w:rPr>
              <w:t>Paraguay</w:t>
            </w:r>
          </w:p>
        </w:tc>
        <w:tc>
          <w:tcPr>
            <w:tcW w:w="1275" w:type="dxa"/>
          </w:tcPr>
          <w:p w14:paraId="5110A568"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100</w:t>
            </w:r>
          </w:p>
        </w:tc>
        <w:tc>
          <w:tcPr>
            <w:tcW w:w="992" w:type="dxa"/>
          </w:tcPr>
          <w:p w14:paraId="06A66B30"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3.6</w:t>
            </w:r>
          </w:p>
        </w:tc>
        <w:tc>
          <w:tcPr>
            <w:tcW w:w="992" w:type="dxa"/>
          </w:tcPr>
          <w:p w14:paraId="396AD333"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1.1</w:t>
            </w:r>
          </w:p>
        </w:tc>
        <w:tc>
          <w:tcPr>
            <w:tcW w:w="993" w:type="dxa"/>
          </w:tcPr>
          <w:p w14:paraId="52351F4C" w14:textId="77777777" w:rsidR="00283B3F" w:rsidRPr="00C34C6C" w:rsidRDefault="00283B3F" w:rsidP="00283B3F">
            <w:pPr>
              <w:pStyle w:val="Sinespaciado1"/>
              <w:jc w:val="center"/>
              <w:rPr>
                <w:rFonts w:ascii="Arial" w:hAnsi="Arial" w:cs="Arial"/>
                <w:sz w:val="18"/>
                <w:szCs w:val="18"/>
              </w:rPr>
            </w:pPr>
          </w:p>
        </w:tc>
        <w:tc>
          <w:tcPr>
            <w:tcW w:w="992" w:type="dxa"/>
          </w:tcPr>
          <w:p w14:paraId="5AFE834B" w14:textId="77777777" w:rsidR="00283B3F" w:rsidRPr="00E07D6A" w:rsidRDefault="00283B3F" w:rsidP="00283B3F">
            <w:pPr>
              <w:pStyle w:val="Sinespaciado1"/>
              <w:jc w:val="center"/>
              <w:rPr>
                <w:rFonts w:ascii="Arial" w:hAnsi="Arial" w:cs="Arial"/>
                <w:sz w:val="18"/>
                <w:szCs w:val="18"/>
              </w:rPr>
            </w:pPr>
            <w:r>
              <w:rPr>
                <w:rFonts w:ascii="Arial" w:hAnsi="Arial" w:cs="Arial"/>
                <w:sz w:val="18"/>
                <w:szCs w:val="18"/>
              </w:rPr>
              <w:t>2.1</w:t>
            </w:r>
          </w:p>
        </w:tc>
        <w:tc>
          <w:tcPr>
            <w:tcW w:w="993" w:type="dxa"/>
          </w:tcPr>
          <w:p w14:paraId="70FFC888"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0.4</w:t>
            </w:r>
          </w:p>
        </w:tc>
        <w:tc>
          <w:tcPr>
            <w:tcW w:w="1983" w:type="dxa"/>
          </w:tcPr>
          <w:p w14:paraId="1FBD0604"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Private companies</w:t>
            </w:r>
          </w:p>
        </w:tc>
      </w:tr>
      <w:tr w:rsidR="00283B3F" w:rsidRPr="003629C7" w14:paraId="5ACA233D" w14:textId="77777777" w:rsidTr="00D225EE">
        <w:trPr>
          <w:trHeight w:val="415"/>
        </w:trPr>
        <w:tc>
          <w:tcPr>
            <w:tcW w:w="988" w:type="dxa"/>
          </w:tcPr>
          <w:p w14:paraId="5B8C497A" w14:textId="77777777" w:rsidR="00283B3F" w:rsidRPr="00C34C6C" w:rsidRDefault="00283B3F" w:rsidP="00283B3F">
            <w:pPr>
              <w:pStyle w:val="Sinespaciado1"/>
              <w:jc w:val="left"/>
              <w:rPr>
                <w:rFonts w:ascii="Arial" w:hAnsi="Arial" w:cs="Arial"/>
                <w:sz w:val="18"/>
                <w:szCs w:val="18"/>
              </w:rPr>
            </w:pPr>
            <w:r>
              <w:rPr>
                <w:rFonts w:ascii="Arial" w:hAnsi="Arial" w:cs="Arial"/>
                <w:sz w:val="18"/>
                <w:szCs w:val="18"/>
              </w:rPr>
              <w:t>Uruguay</w:t>
            </w:r>
          </w:p>
        </w:tc>
        <w:tc>
          <w:tcPr>
            <w:tcW w:w="1275" w:type="dxa"/>
          </w:tcPr>
          <w:p w14:paraId="2FEBABCE"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100</w:t>
            </w:r>
          </w:p>
        </w:tc>
        <w:tc>
          <w:tcPr>
            <w:tcW w:w="992" w:type="dxa"/>
          </w:tcPr>
          <w:p w14:paraId="7F2AD98B"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2.1</w:t>
            </w:r>
          </w:p>
        </w:tc>
        <w:tc>
          <w:tcPr>
            <w:tcW w:w="992" w:type="dxa"/>
          </w:tcPr>
          <w:p w14:paraId="29E8B64A"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0.7</w:t>
            </w:r>
          </w:p>
        </w:tc>
        <w:tc>
          <w:tcPr>
            <w:tcW w:w="993" w:type="dxa"/>
          </w:tcPr>
          <w:p w14:paraId="5FA5F40C" w14:textId="77777777" w:rsidR="00283B3F" w:rsidRPr="00C34C6C" w:rsidRDefault="00283B3F" w:rsidP="00283B3F">
            <w:pPr>
              <w:pStyle w:val="Sinespaciado1"/>
              <w:jc w:val="center"/>
              <w:rPr>
                <w:rFonts w:ascii="Arial" w:hAnsi="Arial" w:cs="Arial"/>
                <w:sz w:val="18"/>
                <w:szCs w:val="18"/>
              </w:rPr>
            </w:pPr>
          </w:p>
        </w:tc>
        <w:tc>
          <w:tcPr>
            <w:tcW w:w="992" w:type="dxa"/>
          </w:tcPr>
          <w:p w14:paraId="7C904EEA" w14:textId="77777777" w:rsidR="00283B3F" w:rsidRPr="00E07D6A" w:rsidRDefault="00283B3F" w:rsidP="00283B3F">
            <w:pPr>
              <w:pStyle w:val="Sinespaciado1"/>
              <w:jc w:val="center"/>
              <w:rPr>
                <w:rFonts w:ascii="Arial" w:hAnsi="Arial" w:cs="Arial"/>
                <w:sz w:val="18"/>
                <w:szCs w:val="18"/>
              </w:rPr>
            </w:pPr>
            <w:r w:rsidRPr="00E07D6A">
              <w:rPr>
                <w:rFonts w:ascii="Arial" w:hAnsi="Arial" w:cs="Arial"/>
                <w:sz w:val="18"/>
                <w:szCs w:val="18"/>
              </w:rPr>
              <w:t>1.</w:t>
            </w:r>
            <w:r>
              <w:rPr>
                <w:rFonts w:ascii="Arial" w:hAnsi="Arial" w:cs="Arial"/>
                <w:sz w:val="18"/>
                <w:szCs w:val="18"/>
              </w:rPr>
              <w:t>2</w:t>
            </w:r>
          </w:p>
        </w:tc>
        <w:tc>
          <w:tcPr>
            <w:tcW w:w="993" w:type="dxa"/>
          </w:tcPr>
          <w:p w14:paraId="4730700D"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0.21</w:t>
            </w:r>
          </w:p>
        </w:tc>
        <w:tc>
          <w:tcPr>
            <w:tcW w:w="1983" w:type="dxa"/>
          </w:tcPr>
          <w:p w14:paraId="2847851B" w14:textId="77777777" w:rsidR="00283B3F" w:rsidRPr="00C34C6C" w:rsidRDefault="00283B3F" w:rsidP="00283B3F">
            <w:pPr>
              <w:pStyle w:val="Sinespaciado1"/>
              <w:jc w:val="center"/>
              <w:rPr>
                <w:rFonts w:ascii="Arial" w:hAnsi="Arial" w:cs="Arial"/>
                <w:sz w:val="18"/>
                <w:szCs w:val="18"/>
              </w:rPr>
            </w:pPr>
            <w:r>
              <w:rPr>
                <w:rFonts w:ascii="Arial" w:hAnsi="Arial" w:cs="Arial"/>
                <w:sz w:val="18"/>
                <w:szCs w:val="18"/>
              </w:rPr>
              <w:t>MOVEs ecosystem</w:t>
            </w:r>
          </w:p>
        </w:tc>
      </w:tr>
      <w:tr w:rsidR="00283B3F" w:rsidRPr="003629C7" w14:paraId="741F6840" w14:textId="77777777" w:rsidTr="00AA0C68">
        <w:trPr>
          <w:trHeight w:val="279"/>
        </w:trPr>
        <w:tc>
          <w:tcPr>
            <w:tcW w:w="988" w:type="dxa"/>
          </w:tcPr>
          <w:p w14:paraId="17B6D17A" w14:textId="77777777" w:rsidR="00283B3F" w:rsidRPr="0004231E" w:rsidRDefault="00283B3F" w:rsidP="00283B3F">
            <w:pPr>
              <w:pStyle w:val="Sinespaciado1"/>
              <w:jc w:val="center"/>
              <w:rPr>
                <w:rFonts w:ascii="Arial" w:hAnsi="Arial" w:cs="Arial"/>
                <w:b/>
                <w:bCs/>
                <w:sz w:val="18"/>
                <w:szCs w:val="18"/>
              </w:rPr>
            </w:pPr>
            <w:r w:rsidRPr="0004231E">
              <w:rPr>
                <w:rFonts w:ascii="Arial" w:hAnsi="Arial" w:cs="Arial"/>
                <w:b/>
                <w:bCs/>
                <w:sz w:val="18"/>
                <w:szCs w:val="18"/>
              </w:rPr>
              <w:t>TOTAL</w:t>
            </w:r>
          </w:p>
        </w:tc>
        <w:tc>
          <w:tcPr>
            <w:tcW w:w="1275" w:type="dxa"/>
          </w:tcPr>
          <w:p w14:paraId="5B8EE187" w14:textId="77777777" w:rsidR="00283B3F" w:rsidRPr="0004231E" w:rsidRDefault="00283B3F" w:rsidP="00283B3F">
            <w:pPr>
              <w:pStyle w:val="Sinespaciado1"/>
              <w:jc w:val="center"/>
              <w:rPr>
                <w:rFonts w:ascii="Arial" w:hAnsi="Arial" w:cs="Arial"/>
                <w:b/>
                <w:bCs/>
                <w:sz w:val="18"/>
                <w:szCs w:val="18"/>
              </w:rPr>
            </w:pPr>
            <w:r w:rsidRPr="0004231E">
              <w:rPr>
                <w:rFonts w:ascii="Arial" w:hAnsi="Arial" w:cs="Arial"/>
                <w:b/>
                <w:bCs/>
                <w:sz w:val="18"/>
                <w:szCs w:val="18"/>
              </w:rPr>
              <w:t>250</w:t>
            </w:r>
          </w:p>
        </w:tc>
        <w:tc>
          <w:tcPr>
            <w:tcW w:w="992" w:type="dxa"/>
          </w:tcPr>
          <w:p w14:paraId="136ED854" w14:textId="77777777" w:rsidR="00283B3F" w:rsidRPr="0004231E" w:rsidRDefault="00283B3F" w:rsidP="00283B3F">
            <w:pPr>
              <w:pStyle w:val="Sinespaciado1"/>
              <w:jc w:val="center"/>
              <w:rPr>
                <w:rFonts w:ascii="Arial" w:hAnsi="Arial" w:cs="Arial"/>
                <w:b/>
                <w:bCs/>
                <w:sz w:val="18"/>
                <w:szCs w:val="18"/>
              </w:rPr>
            </w:pPr>
            <w:r w:rsidRPr="0004231E">
              <w:rPr>
                <w:rFonts w:ascii="Arial" w:hAnsi="Arial" w:cs="Arial"/>
                <w:b/>
                <w:bCs/>
                <w:sz w:val="18"/>
                <w:szCs w:val="18"/>
              </w:rPr>
              <w:t>7.5</w:t>
            </w:r>
          </w:p>
        </w:tc>
        <w:tc>
          <w:tcPr>
            <w:tcW w:w="992" w:type="dxa"/>
          </w:tcPr>
          <w:p w14:paraId="1E6DD1A7" w14:textId="77777777" w:rsidR="00283B3F" w:rsidRPr="0004231E" w:rsidRDefault="00283B3F" w:rsidP="00283B3F">
            <w:pPr>
              <w:pStyle w:val="Sinespaciado1"/>
              <w:jc w:val="center"/>
              <w:rPr>
                <w:rFonts w:ascii="Arial" w:hAnsi="Arial" w:cs="Arial"/>
                <w:b/>
                <w:bCs/>
                <w:sz w:val="18"/>
                <w:szCs w:val="18"/>
              </w:rPr>
            </w:pPr>
            <w:r>
              <w:rPr>
                <w:rFonts w:ascii="Arial" w:hAnsi="Arial" w:cs="Arial"/>
                <w:b/>
                <w:bCs/>
                <w:sz w:val="18"/>
                <w:szCs w:val="18"/>
              </w:rPr>
              <w:t>2.35</w:t>
            </w:r>
          </w:p>
        </w:tc>
        <w:tc>
          <w:tcPr>
            <w:tcW w:w="993" w:type="dxa"/>
          </w:tcPr>
          <w:p w14:paraId="7610C3EA" w14:textId="77777777" w:rsidR="00283B3F" w:rsidRPr="0004231E" w:rsidRDefault="00283B3F" w:rsidP="00283B3F">
            <w:pPr>
              <w:pStyle w:val="Sinespaciado1"/>
              <w:jc w:val="center"/>
              <w:rPr>
                <w:rFonts w:ascii="Arial" w:hAnsi="Arial" w:cs="Arial"/>
                <w:b/>
                <w:bCs/>
                <w:sz w:val="18"/>
                <w:szCs w:val="18"/>
              </w:rPr>
            </w:pPr>
          </w:p>
        </w:tc>
        <w:tc>
          <w:tcPr>
            <w:tcW w:w="992" w:type="dxa"/>
          </w:tcPr>
          <w:p w14:paraId="7C38D673" w14:textId="77777777" w:rsidR="00283B3F" w:rsidRPr="00E07D6A" w:rsidRDefault="00283B3F" w:rsidP="00283B3F">
            <w:pPr>
              <w:pStyle w:val="Sinespaciado1"/>
              <w:jc w:val="center"/>
              <w:rPr>
                <w:rFonts w:ascii="Arial" w:hAnsi="Arial" w:cs="Arial"/>
                <w:b/>
                <w:bCs/>
                <w:sz w:val="18"/>
                <w:szCs w:val="18"/>
              </w:rPr>
            </w:pPr>
            <w:r>
              <w:rPr>
                <w:rFonts w:ascii="Arial" w:hAnsi="Arial" w:cs="Arial"/>
                <w:b/>
                <w:bCs/>
                <w:sz w:val="18"/>
                <w:szCs w:val="18"/>
              </w:rPr>
              <w:t>4.4</w:t>
            </w:r>
          </w:p>
        </w:tc>
        <w:tc>
          <w:tcPr>
            <w:tcW w:w="993" w:type="dxa"/>
          </w:tcPr>
          <w:p w14:paraId="2B87F017" w14:textId="77777777" w:rsidR="00283B3F" w:rsidRPr="0004231E" w:rsidRDefault="00283B3F" w:rsidP="00283B3F">
            <w:pPr>
              <w:pStyle w:val="Sinespaciado1"/>
              <w:jc w:val="center"/>
              <w:rPr>
                <w:rFonts w:ascii="Arial" w:hAnsi="Arial" w:cs="Arial"/>
                <w:b/>
                <w:bCs/>
                <w:sz w:val="18"/>
                <w:szCs w:val="18"/>
              </w:rPr>
            </w:pPr>
            <w:r>
              <w:rPr>
                <w:rFonts w:ascii="Arial" w:hAnsi="Arial" w:cs="Arial"/>
                <w:b/>
                <w:bCs/>
                <w:sz w:val="18"/>
                <w:szCs w:val="18"/>
              </w:rPr>
              <w:t>0.75</w:t>
            </w:r>
          </w:p>
        </w:tc>
        <w:tc>
          <w:tcPr>
            <w:tcW w:w="1983" w:type="dxa"/>
          </w:tcPr>
          <w:p w14:paraId="19127501" w14:textId="77777777" w:rsidR="00283B3F" w:rsidRDefault="00283B3F" w:rsidP="00283B3F">
            <w:pPr>
              <w:pStyle w:val="Sinespaciado1"/>
              <w:jc w:val="center"/>
              <w:rPr>
                <w:rFonts w:ascii="Arial" w:hAnsi="Arial" w:cs="Arial"/>
                <w:sz w:val="18"/>
                <w:szCs w:val="18"/>
              </w:rPr>
            </w:pPr>
          </w:p>
        </w:tc>
      </w:tr>
    </w:tbl>
    <w:p w14:paraId="7811CC90" w14:textId="77777777" w:rsidR="00E014DD" w:rsidRDefault="00E014DD" w:rsidP="00E014DD">
      <w:pPr>
        <w:spacing w:after="0" w:line="240" w:lineRule="auto"/>
        <w:jc w:val="center"/>
        <w:rPr>
          <w:i/>
          <w:iCs/>
          <w:sz w:val="20"/>
          <w:szCs w:val="20"/>
        </w:rPr>
      </w:pPr>
      <w:r w:rsidRPr="00D07B6F">
        <w:rPr>
          <w:i/>
          <w:iCs/>
          <w:sz w:val="20"/>
          <w:szCs w:val="20"/>
        </w:rPr>
        <w:t>Source: Annex 2 of CAF “E-Motion: E-Mobility and Low Carbon Transportation” GCF Funding Proposal</w:t>
      </w:r>
    </w:p>
    <w:p w14:paraId="7DBF25E2" w14:textId="77777777" w:rsidR="00AA0C68" w:rsidRDefault="00AA0C68" w:rsidP="00D07B6F">
      <w:pPr>
        <w:spacing w:after="0" w:line="240" w:lineRule="auto"/>
        <w:rPr>
          <w:color w:val="000000" w:themeColor="text1"/>
          <w:u w:val="single"/>
          <w:lang w:eastAsia="ja-JP"/>
        </w:rPr>
      </w:pPr>
    </w:p>
    <w:p w14:paraId="48BFC273" w14:textId="0B776089" w:rsidR="00596959" w:rsidRPr="00102605" w:rsidRDefault="007215C1" w:rsidP="00D07B6F">
      <w:pPr>
        <w:spacing w:after="0" w:line="240" w:lineRule="auto"/>
        <w:rPr>
          <w:color w:val="000000" w:themeColor="text1"/>
          <w:lang w:eastAsia="ja-JP"/>
        </w:rPr>
      </w:pPr>
      <w:r w:rsidRPr="00102605">
        <w:rPr>
          <w:color w:val="000000" w:themeColor="text1"/>
          <w:u w:val="single"/>
          <w:lang w:eastAsia="ja-JP"/>
        </w:rPr>
        <w:t xml:space="preserve">Component 4: </w:t>
      </w:r>
      <w:r w:rsidR="00E30BD7" w:rsidRPr="00102605">
        <w:rPr>
          <w:color w:val="000000" w:themeColor="text1"/>
          <w:u w:val="single"/>
          <w:lang w:eastAsia="ja-JP"/>
        </w:rPr>
        <w:t xml:space="preserve">Develop urban </w:t>
      </w:r>
      <w:r w:rsidRPr="00102605">
        <w:rPr>
          <w:color w:val="000000" w:themeColor="text1"/>
          <w:u w:val="single"/>
          <w:lang w:eastAsia="ja-JP"/>
        </w:rPr>
        <w:t xml:space="preserve">fast-charging infrastructure: </w:t>
      </w:r>
      <w:r w:rsidRPr="00102605">
        <w:t xml:space="preserve">The deployment of commercial EV fleets </w:t>
      </w:r>
      <w:proofErr w:type="gramStart"/>
      <w:r w:rsidRPr="00102605">
        <w:t>require</w:t>
      </w:r>
      <w:proofErr w:type="gramEnd"/>
      <w:r w:rsidRPr="00102605">
        <w:t xml:space="preserve"> the establishment of fast-charging infrastructure</w:t>
      </w:r>
      <w:r w:rsidR="00596959" w:rsidRPr="00102605">
        <w:t xml:space="preserve"> (</w:t>
      </w:r>
      <w:r w:rsidR="00EB7DFD" w:rsidRPr="00102605">
        <w:t>network of stations</w:t>
      </w:r>
      <w:r w:rsidR="00596959" w:rsidRPr="00102605">
        <w:t>)</w:t>
      </w:r>
      <w:r w:rsidR="00E30BD7" w:rsidRPr="00102605">
        <w:t xml:space="preserve"> in </w:t>
      </w:r>
      <w:r w:rsidR="00116286" w:rsidRPr="00102605">
        <w:t>key city areas</w:t>
      </w:r>
      <w:r w:rsidRPr="00102605">
        <w:t>. This infrastructure is also a precondition for the further promotion and spill-over to other vehicle segments.</w:t>
      </w:r>
      <w:r w:rsidR="00CA177D" w:rsidRPr="00102605">
        <w:t xml:space="preserve"> </w:t>
      </w:r>
      <w:r w:rsidR="00596959" w:rsidRPr="00102605">
        <w:rPr>
          <w:color w:val="000000" w:themeColor="text1"/>
          <w:lang w:eastAsia="ja-JP"/>
        </w:rPr>
        <w:t>The principal activities to be undertaken in this component include the following:</w:t>
      </w:r>
    </w:p>
    <w:p w14:paraId="7890F780" w14:textId="6C73E940" w:rsidR="00596959" w:rsidRPr="00102605" w:rsidRDefault="00596959" w:rsidP="00D07B6F">
      <w:pPr>
        <w:spacing w:after="0" w:line="240" w:lineRule="auto"/>
        <w:rPr>
          <w:color w:val="000000" w:themeColor="text1"/>
          <w:lang w:eastAsia="ja-JP"/>
        </w:rPr>
      </w:pPr>
    </w:p>
    <w:p w14:paraId="5AC59D3C" w14:textId="496FC444" w:rsidR="00596959" w:rsidRPr="00102605" w:rsidRDefault="00596959" w:rsidP="00D07B6F">
      <w:pPr>
        <w:pStyle w:val="Prrafodelista"/>
        <w:numPr>
          <w:ilvl w:val="0"/>
          <w:numId w:val="36"/>
        </w:numPr>
        <w:spacing w:after="0" w:line="240" w:lineRule="auto"/>
      </w:pPr>
      <w:r w:rsidRPr="00102605">
        <w:t xml:space="preserve">Technical support in the </w:t>
      </w:r>
      <w:r w:rsidR="00102605" w:rsidRPr="00102605">
        <w:t>selection</w:t>
      </w:r>
      <w:r w:rsidRPr="00102605">
        <w:t xml:space="preserve"> and </w:t>
      </w:r>
      <w:r w:rsidR="00EB7DFD" w:rsidRPr="00102605">
        <w:t>procurement</w:t>
      </w:r>
      <w:r w:rsidRPr="00102605">
        <w:t xml:space="preserve"> of fast charging</w:t>
      </w:r>
      <w:r w:rsidR="00EB7DFD" w:rsidRPr="00102605">
        <w:t xml:space="preserve"> technology / equipment and installation of charging stations.</w:t>
      </w:r>
    </w:p>
    <w:p w14:paraId="35C830EA" w14:textId="03B90055" w:rsidR="00596959" w:rsidRPr="00102605" w:rsidRDefault="630FFCF6" w:rsidP="00D07B6F">
      <w:pPr>
        <w:pStyle w:val="Prrafodelista"/>
        <w:numPr>
          <w:ilvl w:val="0"/>
          <w:numId w:val="36"/>
        </w:numPr>
        <w:spacing w:after="0" w:line="240" w:lineRule="auto"/>
      </w:pPr>
      <w:r w:rsidRPr="00102605">
        <w:t xml:space="preserve">Finance and install fast-charging station networks </w:t>
      </w:r>
      <w:r w:rsidR="00B72772">
        <w:t xml:space="preserve">through sub-projects </w:t>
      </w:r>
      <w:r w:rsidRPr="00102605">
        <w:t xml:space="preserve">in the </w:t>
      </w:r>
      <w:r w:rsidR="002A4EDC">
        <w:t>t</w:t>
      </w:r>
      <w:r w:rsidR="00C524AB">
        <w:t>hree</w:t>
      </w:r>
      <w:r w:rsidRPr="00102605">
        <w:t xml:space="preserve"> target cities</w:t>
      </w:r>
      <w:r w:rsidR="7B72EE96" w:rsidRPr="00102605">
        <w:t xml:space="preserve">. </w:t>
      </w:r>
      <w:r w:rsidRPr="00102605">
        <w:t xml:space="preserve">The </w:t>
      </w:r>
      <w:r w:rsidR="00102605" w:rsidRPr="00102605">
        <w:t>envisaged chargers</w:t>
      </w:r>
      <w:r w:rsidRPr="00102605">
        <w:t xml:space="preserve"> per country will each have a capacity of 150 kW.</w:t>
      </w:r>
    </w:p>
    <w:p w14:paraId="7798E152" w14:textId="77777777" w:rsidR="00E7413A" w:rsidRPr="00102605" w:rsidRDefault="00E7413A" w:rsidP="00D07B6F">
      <w:pPr>
        <w:spacing w:after="0" w:line="240" w:lineRule="auto"/>
      </w:pPr>
    </w:p>
    <w:p w14:paraId="2CA2DA8C" w14:textId="3D5CD41B" w:rsidR="007761C9" w:rsidRPr="00102605" w:rsidRDefault="007761C9" w:rsidP="00D07B6F">
      <w:pPr>
        <w:spacing w:after="0" w:line="240" w:lineRule="auto"/>
      </w:pPr>
      <w:r w:rsidRPr="00102605">
        <w:t>CAF will be responsible for coordination among different stakeholders under Outcome 4</w:t>
      </w:r>
      <w:r w:rsidR="00795381" w:rsidRPr="00102605">
        <w:t>.</w:t>
      </w:r>
      <w:r w:rsidRPr="00102605">
        <w:t xml:space="preserve"> </w:t>
      </w:r>
      <w:r w:rsidR="00795381" w:rsidRPr="00102605">
        <w:t>T</w:t>
      </w:r>
      <w:r w:rsidRPr="00102605">
        <w:t xml:space="preserve">he fast-charging infrastructure under component 4 could be used for </w:t>
      </w:r>
      <w:r w:rsidR="006812C5">
        <w:t>e-LCVs (</w:t>
      </w:r>
      <w:r w:rsidRPr="00102605">
        <w:t>component 3</w:t>
      </w:r>
      <w:r w:rsidR="006812C5">
        <w:t>)</w:t>
      </w:r>
      <w:r w:rsidRPr="00102605">
        <w:t xml:space="preserve"> </w:t>
      </w:r>
      <w:r w:rsidR="001D434F">
        <w:t xml:space="preserve">as well as </w:t>
      </w:r>
      <w:r w:rsidRPr="00102605">
        <w:t>vehicles like taxis or private vehicles (not bus fleets under component 2)</w:t>
      </w:r>
      <w:r w:rsidR="001D434F">
        <w:rPr>
          <w:rStyle w:val="Refdenotaalpie"/>
        </w:rPr>
        <w:footnoteReference w:id="5"/>
      </w:r>
      <w:r w:rsidRPr="00102605">
        <w:t>.</w:t>
      </w:r>
      <w:r w:rsidR="00834B0D" w:rsidRPr="00102605">
        <w:t xml:space="preserve"> The envisaged 20 chargers per country will have a capacity of 150 kW each allowing fast charging</w:t>
      </w:r>
      <w:r w:rsidR="00241AAC" w:rsidRPr="00102605">
        <w:t xml:space="preserve"> (target cities Panama, City, Asuncion, Paraguay, Montevideo, Uruguay).</w:t>
      </w:r>
    </w:p>
    <w:p w14:paraId="421D43F2" w14:textId="77777777" w:rsidR="00B517BD" w:rsidRPr="00102605" w:rsidRDefault="00B517BD" w:rsidP="00D07B6F">
      <w:pPr>
        <w:spacing w:after="0" w:line="240" w:lineRule="auto"/>
      </w:pPr>
    </w:p>
    <w:p w14:paraId="5E12CE60" w14:textId="638A033A" w:rsidR="00596959" w:rsidRDefault="00E7413A" w:rsidP="00D07B6F">
      <w:pPr>
        <w:spacing w:after="0" w:line="240" w:lineRule="auto"/>
        <w:rPr>
          <w:rFonts w:asciiTheme="minorBidi" w:hAnsiTheme="minorBidi"/>
        </w:rPr>
      </w:pPr>
      <w:r w:rsidRPr="00102605">
        <w:rPr>
          <w:rFonts w:asciiTheme="minorBidi" w:hAnsiTheme="minorBidi"/>
        </w:rPr>
        <w:t>Involved municipalit</w:t>
      </w:r>
      <w:r w:rsidR="005D46EB" w:rsidRPr="00102605">
        <w:rPr>
          <w:rFonts w:asciiTheme="minorBidi" w:hAnsiTheme="minorBidi"/>
        </w:rPr>
        <w:t>ies</w:t>
      </w:r>
      <w:r w:rsidR="000C3DA0" w:rsidRPr="00102605">
        <w:rPr>
          <w:rFonts w:asciiTheme="minorBidi" w:hAnsiTheme="minorBidi"/>
        </w:rPr>
        <w:t xml:space="preserve"> (Panama, City, Asuncion, Paraguay, Montevideo, Uruguay)</w:t>
      </w:r>
      <w:r w:rsidRPr="00102605">
        <w:rPr>
          <w:rFonts w:asciiTheme="minorBidi" w:hAnsiTheme="minorBidi"/>
        </w:rPr>
        <w:t xml:space="preserve"> will provide and dedicate corresponding public space and land free of charge. The electricity supply will be delivered by the respective utility, which will be involved in the planning and construction. In addition, the interplay between the utilities and the electricity customers will be addressed, i.e., support the establishment of adequate power supply tariffs offered by the utilities (addressed in coordination with Component 1).  </w:t>
      </w:r>
    </w:p>
    <w:p w14:paraId="40AAB757" w14:textId="77777777" w:rsidR="00D07B6F" w:rsidRPr="00102605" w:rsidRDefault="00D07B6F" w:rsidP="00D07B6F">
      <w:pPr>
        <w:spacing w:after="0" w:line="240" w:lineRule="auto"/>
      </w:pPr>
    </w:p>
    <w:p w14:paraId="70E9E988" w14:textId="15010CF3" w:rsidR="00961383" w:rsidRPr="00102605" w:rsidRDefault="00961383" w:rsidP="00E45BBC">
      <w:pPr>
        <w:pStyle w:val="Ttulo1"/>
        <w:numPr>
          <w:ilvl w:val="1"/>
          <w:numId w:val="1"/>
        </w:numPr>
        <w:spacing w:before="0" w:after="0" w:line="240" w:lineRule="auto"/>
        <w:ind w:left="567" w:hanging="567"/>
      </w:pPr>
      <w:bookmarkStart w:id="8" w:name="_Toc67651975"/>
      <w:bookmarkStart w:id="9" w:name="_Toc114152203"/>
      <w:r w:rsidRPr="00102605">
        <w:t xml:space="preserve">Eligible </w:t>
      </w:r>
      <w:r w:rsidR="00C524AB">
        <w:t>sub-</w:t>
      </w:r>
      <w:r w:rsidRPr="00102605">
        <w:t>projects</w:t>
      </w:r>
      <w:bookmarkEnd w:id="8"/>
      <w:bookmarkEnd w:id="9"/>
    </w:p>
    <w:p w14:paraId="3033AF24" w14:textId="77777777" w:rsidR="00FD0236" w:rsidRDefault="00FD0236" w:rsidP="00D07B6F">
      <w:pPr>
        <w:spacing w:after="0" w:line="240" w:lineRule="auto"/>
      </w:pPr>
    </w:p>
    <w:p w14:paraId="16DF2875" w14:textId="1895F5A5" w:rsidR="00961383" w:rsidRDefault="00961383" w:rsidP="00D07B6F">
      <w:pPr>
        <w:spacing w:after="0" w:line="240" w:lineRule="auto"/>
      </w:pPr>
      <w:r w:rsidRPr="00102605">
        <w:t xml:space="preserve">All investments entering within the </w:t>
      </w:r>
      <w:r w:rsidR="00061149" w:rsidRPr="00102605">
        <w:t>CAF</w:t>
      </w:r>
      <w:r w:rsidRPr="00102605">
        <w:t xml:space="preserve"> Exclusion List will be excluded from the </w:t>
      </w:r>
      <w:r w:rsidR="00F7617F" w:rsidRPr="00102605">
        <w:t>Sub-Program 2</w:t>
      </w:r>
      <w:r w:rsidRPr="00102605">
        <w:t xml:space="preserve"> (Annex 1). Eligible </w:t>
      </w:r>
      <w:r w:rsidR="00C524AB">
        <w:t>sub-</w:t>
      </w:r>
      <w:r w:rsidRPr="00102605">
        <w:t xml:space="preserve">projects to the </w:t>
      </w:r>
      <w:r w:rsidR="00F7617F" w:rsidRPr="00102605">
        <w:t>Sub-Program 2</w:t>
      </w:r>
      <w:r w:rsidRPr="00102605">
        <w:t xml:space="preserve"> are expected to be of Risk Categories B to C. High risk </w:t>
      </w:r>
      <w:r w:rsidR="00C524AB">
        <w:t>sub-</w:t>
      </w:r>
      <w:r w:rsidR="00B30DE3" w:rsidRPr="00102605">
        <w:t xml:space="preserve">projects of </w:t>
      </w:r>
      <w:r w:rsidRPr="00102605">
        <w:t>Category A will be excluded.</w:t>
      </w:r>
    </w:p>
    <w:p w14:paraId="50CFB14A" w14:textId="77777777" w:rsidR="00D76B9B" w:rsidRPr="00102605" w:rsidRDefault="00D76B9B" w:rsidP="00D07B6F">
      <w:pPr>
        <w:spacing w:after="0" w:line="240" w:lineRule="auto"/>
      </w:pPr>
    </w:p>
    <w:p w14:paraId="02D041C7" w14:textId="2D41D378" w:rsidR="00961383" w:rsidRDefault="00961383" w:rsidP="00D07B6F">
      <w:pPr>
        <w:spacing w:after="0" w:line="240" w:lineRule="auto"/>
      </w:pPr>
      <w:r w:rsidRPr="00102605">
        <w:t xml:space="preserve">All investments must </w:t>
      </w:r>
      <w:r w:rsidR="00B30DE3" w:rsidRPr="00102605">
        <w:t>comply</w:t>
      </w:r>
      <w:r w:rsidRPr="00102605">
        <w:t xml:space="preserve"> with </w:t>
      </w:r>
      <w:r w:rsidR="00173F4C" w:rsidRPr="00173F4C">
        <w:t xml:space="preserve">CAF´s E&amp;S Safeguards as well as </w:t>
      </w:r>
      <w:r w:rsidR="004E089D" w:rsidRPr="00102605">
        <w:t xml:space="preserve">GCF´s </w:t>
      </w:r>
      <w:r w:rsidR="004E089D">
        <w:t xml:space="preserve">interim environmental and social safeguards and performance standards, the revised environmental and social policy, the indigenous </w:t>
      </w:r>
      <w:proofErr w:type="gramStart"/>
      <w:r w:rsidR="004E089D">
        <w:t>peoples</w:t>
      </w:r>
      <w:proofErr w:type="gramEnd"/>
      <w:r w:rsidR="004E089D">
        <w:t xml:space="preserve"> policy, and the gender policy</w:t>
      </w:r>
      <w:r w:rsidRPr="00102605">
        <w:t xml:space="preserve"> and follow the principles, terms and conditions agreed by </w:t>
      </w:r>
      <w:r w:rsidR="00061149" w:rsidRPr="00102605">
        <w:t>CAF</w:t>
      </w:r>
      <w:r w:rsidRPr="00102605">
        <w:t xml:space="preserve">, including </w:t>
      </w:r>
      <w:r w:rsidR="00C524AB">
        <w:t>sub-</w:t>
      </w:r>
      <w:r w:rsidRPr="00102605">
        <w:t xml:space="preserve">project eligibility criteria, governance, implementation arrangements, environmental and social management systems, gender consideration, monitoring, </w:t>
      </w:r>
      <w:r w:rsidR="00102605" w:rsidRPr="00102605">
        <w:t>evaluation,</w:t>
      </w:r>
      <w:r w:rsidRPr="00102605">
        <w:t xml:space="preserve"> and verification.</w:t>
      </w:r>
    </w:p>
    <w:p w14:paraId="3DF49014" w14:textId="17841E94" w:rsidR="00961383" w:rsidRPr="00102605" w:rsidRDefault="00961383" w:rsidP="00D07B6F">
      <w:pPr>
        <w:spacing w:after="0" w:line="240" w:lineRule="auto"/>
      </w:pPr>
      <w:r w:rsidRPr="00102605">
        <w:t>The</w:t>
      </w:r>
      <w:r w:rsidR="00332834" w:rsidRPr="00102605">
        <w:t xml:space="preserve"> Sub-Program 2</w:t>
      </w:r>
      <w:r w:rsidRPr="00102605">
        <w:t xml:space="preserve"> assists in identifying climate change related </w:t>
      </w:r>
      <w:r w:rsidR="00C524AB">
        <w:t>sub-</w:t>
      </w:r>
      <w:r w:rsidRPr="00102605">
        <w:t>projects</w:t>
      </w:r>
      <w:r w:rsidR="00B30DE3" w:rsidRPr="00102605">
        <w:t>,</w:t>
      </w:r>
      <w:r w:rsidRPr="00102605">
        <w:t xml:space="preserve"> maximizing their GHG mitigation benefits, and contributes to the bankability of </w:t>
      </w:r>
      <w:r w:rsidR="00C524AB">
        <w:t>sub-</w:t>
      </w:r>
      <w:r w:rsidRPr="00102605">
        <w:t>projects by introducing catalytic funding. The</w:t>
      </w:r>
      <w:r w:rsidR="00332834" w:rsidRPr="00102605">
        <w:t xml:space="preserve"> Sub-Program 2</w:t>
      </w:r>
      <w:r w:rsidRPr="00102605">
        <w:t xml:space="preserve"> applies to all </w:t>
      </w:r>
      <w:r w:rsidR="00C524AB">
        <w:t>sub-</w:t>
      </w:r>
      <w:r w:rsidRPr="00102605">
        <w:t>projects a standard GHG accounting methodology to determine GHG benefits going beyond the baseline.</w:t>
      </w:r>
    </w:p>
    <w:p w14:paraId="6A481A8F" w14:textId="77777777" w:rsidR="00961383" w:rsidRPr="00102605" w:rsidRDefault="00961383" w:rsidP="00D07B6F">
      <w:pPr>
        <w:spacing w:after="0" w:line="240" w:lineRule="auto"/>
        <w:rPr>
          <w:iCs/>
          <w:color w:val="000000" w:themeColor="text1"/>
          <w:sz w:val="20"/>
          <w:szCs w:val="20"/>
          <w:lang w:eastAsia="ja-JP"/>
        </w:rPr>
      </w:pPr>
    </w:p>
    <w:p w14:paraId="09F9FAB0" w14:textId="77777777" w:rsidR="009A3546" w:rsidRPr="00102605" w:rsidRDefault="009A3546" w:rsidP="00D07B6F">
      <w:pPr>
        <w:spacing w:after="0" w:line="240" w:lineRule="auto"/>
        <w:rPr>
          <w:color w:val="000000" w:themeColor="text1"/>
          <w:lang w:eastAsia="ja-JP"/>
        </w:rPr>
      </w:pPr>
      <w:r w:rsidRPr="00102605">
        <w:rPr>
          <w:color w:val="000000" w:themeColor="text1"/>
          <w:lang w:eastAsia="ja-JP"/>
        </w:rPr>
        <w:t xml:space="preserve">Eligible sub-projects must </w:t>
      </w:r>
      <w:r w:rsidRPr="00102605">
        <w:rPr>
          <w:iCs/>
          <w:color w:val="000000" w:themeColor="text1"/>
          <w:lang w:eastAsia="ja-JP"/>
        </w:rPr>
        <w:t>fulfil</w:t>
      </w:r>
      <w:r w:rsidRPr="00102605">
        <w:rPr>
          <w:color w:val="000000" w:themeColor="text1"/>
          <w:lang w:eastAsia="ja-JP"/>
        </w:rPr>
        <w:t xml:space="preserve"> the following minimum criteria:</w:t>
      </w:r>
    </w:p>
    <w:p w14:paraId="5612E4D0" w14:textId="77777777" w:rsidR="009A3546" w:rsidRPr="00102605" w:rsidRDefault="009A3546" w:rsidP="00D07B6F">
      <w:pPr>
        <w:spacing w:after="0" w:line="240" w:lineRule="auto"/>
        <w:rPr>
          <w:color w:val="000000" w:themeColor="text1"/>
          <w:lang w:eastAsia="ja-JP"/>
        </w:rPr>
      </w:pPr>
    </w:p>
    <w:p w14:paraId="2DE0E637" w14:textId="413D8411"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Sub-projects must reduce GHG emissions and have a positive sustainable development </w:t>
      </w:r>
      <w:r w:rsidR="00102605" w:rsidRPr="00102605">
        <w:rPr>
          <w:color w:val="000000" w:themeColor="text1"/>
          <w:lang w:eastAsia="ja-JP"/>
        </w:rPr>
        <w:t>impact.</w:t>
      </w:r>
    </w:p>
    <w:p w14:paraId="27EC9FFA" w14:textId="56AFD276"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Sub-projects must demonstrate a transformational </w:t>
      </w:r>
      <w:r w:rsidR="00102605" w:rsidRPr="00102605">
        <w:rPr>
          <w:color w:val="000000" w:themeColor="text1"/>
          <w:lang w:eastAsia="ja-JP"/>
        </w:rPr>
        <w:t>potential.</w:t>
      </w:r>
    </w:p>
    <w:p w14:paraId="3BC2050D" w14:textId="7FF101F7"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Sub-projects must be financially viable, according to CAF credit criteria and an agreed expected investor’s hurdle </w:t>
      </w:r>
      <w:r w:rsidR="00102605" w:rsidRPr="00102605">
        <w:rPr>
          <w:color w:val="000000" w:themeColor="text1"/>
          <w:lang w:eastAsia="ja-JP"/>
        </w:rPr>
        <w:t>rate.</w:t>
      </w:r>
    </w:p>
    <w:p w14:paraId="1D48854A" w14:textId="210F0D27"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Sub-projects must meet the environmental and social safeguard criteria of </w:t>
      </w:r>
      <w:r w:rsidR="00102605" w:rsidRPr="00102605">
        <w:rPr>
          <w:iCs/>
          <w:color w:val="000000" w:themeColor="text1"/>
          <w:lang w:eastAsia="ja-JP"/>
        </w:rPr>
        <w:t>CAF</w:t>
      </w:r>
      <w:r w:rsidR="002D65B9">
        <w:rPr>
          <w:iCs/>
          <w:color w:val="000000" w:themeColor="text1"/>
          <w:lang w:eastAsia="ja-JP"/>
        </w:rPr>
        <w:t xml:space="preserve">, </w:t>
      </w:r>
      <w:r w:rsidR="002D65B9" w:rsidRPr="00102605">
        <w:t xml:space="preserve">as well as GCF´s </w:t>
      </w:r>
      <w:r w:rsidR="002D65B9">
        <w:t xml:space="preserve">interim environmental and social safeguards and performance standards, the revised environmental and social policy, the indigenous </w:t>
      </w:r>
      <w:r w:rsidR="0064515F">
        <w:t>people’s</w:t>
      </w:r>
      <w:r w:rsidR="002D65B9">
        <w:t xml:space="preserve"> policy, and the gender policy</w:t>
      </w:r>
      <w:r w:rsidR="00102605" w:rsidRPr="00102605">
        <w:rPr>
          <w:color w:val="000000" w:themeColor="text1"/>
          <w:lang w:eastAsia="ja-JP"/>
        </w:rPr>
        <w:t>.</w:t>
      </w:r>
    </w:p>
    <w:p w14:paraId="022E18E4" w14:textId="0DE62B85" w:rsidR="009A3546"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Sub-projects must </w:t>
      </w:r>
      <w:proofErr w:type="gramStart"/>
      <w:r w:rsidRPr="00102605">
        <w:rPr>
          <w:color w:val="000000" w:themeColor="text1"/>
          <w:lang w:eastAsia="ja-JP"/>
        </w:rPr>
        <w:t>be in compliance with</w:t>
      </w:r>
      <w:proofErr w:type="gramEnd"/>
      <w:r w:rsidRPr="00102605">
        <w:rPr>
          <w:color w:val="000000" w:themeColor="text1"/>
          <w:lang w:eastAsia="ja-JP"/>
        </w:rPr>
        <w:t xml:space="preserve"> relevant national and local laws and regulations and have country </w:t>
      </w:r>
      <w:r w:rsidR="00102605" w:rsidRPr="00102605">
        <w:rPr>
          <w:color w:val="000000" w:themeColor="text1"/>
          <w:lang w:eastAsia="ja-JP"/>
        </w:rPr>
        <w:t>ownership.</w:t>
      </w:r>
    </w:p>
    <w:p w14:paraId="3D7D8E5D" w14:textId="4295BFD3"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Each </w:t>
      </w:r>
      <w:r w:rsidR="00C524AB">
        <w:rPr>
          <w:color w:val="000000" w:themeColor="text1"/>
          <w:lang w:eastAsia="ja-JP"/>
        </w:rPr>
        <w:t>sub-</w:t>
      </w:r>
      <w:r w:rsidRPr="00102605">
        <w:rPr>
          <w:color w:val="000000" w:themeColor="text1"/>
          <w:lang w:eastAsia="ja-JP"/>
        </w:rPr>
        <w:t xml:space="preserve">project shall have a gender action plan </w:t>
      </w:r>
      <w:proofErr w:type="gramStart"/>
      <w:r w:rsidRPr="00102605">
        <w:rPr>
          <w:iCs/>
          <w:color w:val="000000" w:themeColor="text1"/>
          <w:lang w:eastAsia="ja-JP"/>
        </w:rPr>
        <w:t>taking into account</w:t>
      </w:r>
      <w:proofErr w:type="gramEnd"/>
      <w:r w:rsidRPr="00102605">
        <w:rPr>
          <w:iCs/>
          <w:color w:val="000000" w:themeColor="text1"/>
          <w:lang w:eastAsia="ja-JP"/>
        </w:rPr>
        <w:t xml:space="preserve"> </w:t>
      </w:r>
      <w:r w:rsidR="00AD5E3A">
        <w:rPr>
          <w:iCs/>
          <w:color w:val="000000" w:themeColor="text1"/>
          <w:lang w:eastAsia="ja-JP"/>
        </w:rPr>
        <w:t>key areas of intervention</w:t>
      </w:r>
      <w:r w:rsidR="00AD5E3A" w:rsidRPr="00102605">
        <w:rPr>
          <w:iCs/>
          <w:color w:val="000000" w:themeColor="text1"/>
          <w:lang w:eastAsia="ja-JP"/>
        </w:rPr>
        <w:t xml:space="preserve"> </w:t>
      </w:r>
      <w:r w:rsidRPr="00102605">
        <w:rPr>
          <w:iCs/>
          <w:color w:val="000000" w:themeColor="text1"/>
          <w:lang w:eastAsia="ja-JP"/>
        </w:rPr>
        <w:t xml:space="preserve">developed </w:t>
      </w:r>
      <w:r w:rsidRPr="00102605">
        <w:rPr>
          <w:color w:val="000000" w:themeColor="text1"/>
          <w:lang w:eastAsia="ja-JP"/>
        </w:rPr>
        <w:t xml:space="preserve">in </w:t>
      </w:r>
      <w:r w:rsidR="00AF64ED">
        <w:rPr>
          <w:color w:val="000000" w:themeColor="text1"/>
          <w:lang w:eastAsia="ja-JP"/>
        </w:rPr>
        <w:t xml:space="preserve">in the </w:t>
      </w:r>
      <w:r w:rsidR="00592E73">
        <w:rPr>
          <w:color w:val="000000" w:themeColor="text1"/>
          <w:lang w:eastAsia="ja-JP"/>
        </w:rPr>
        <w:t>Gender Assessment</w:t>
      </w:r>
      <w:r w:rsidR="00B03396">
        <w:rPr>
          <w:color w:val="000000" w:themeColor="text1"/>
          <w:lang w:eastAsia="ja-JP"/>
        </w:rPr>
        <w:t xml:space="preserve"> (see </w:t>
      </w:r>
      <w:r w:rsidRPr="00102605">
        <w:rPr>
          <w:iCs/>
          <w:color w:val="000000" w:themeColor="text1"/>
          <w:lang w:eastAsia="ja-JP"/>
        </w:rPr>
        <w:t xml:space="preserve">Annex </w:t>
      </w:r>
      <w:r w:rsidR="00102605" w:rsidRPr="00102605">
        <w:rPr>
          <w:color w:val="000000" w:themeColor="text1"/>
          <w:lang w:eastAsia="ja-JP"/>
        </w:rPr>
        <w:t>8</w:t>
      </w:r>
      <w:r w:rsidR="00B03396">
        <w:rPr>
          <w:color w:val="000000" w:themeColor="text1"/>
          <w:lang w:eastAsia="ja-JP"/>
        </w:rPr>
        <w:t>)</w:t>
      </w:r>
      <w:r w:rsidR="00102605" w:rsidRPr="00102605">
        <w:rPr>
          <w:color w:val="000000" w:themeColor="text1"/>
          <w:lang w:eastAsia="ja-JP"/>
        </w:rPr>
        <w:t>.</w:t>
      </w:r>
    </w:p>
    <w:p w14:paraId="14CB4DB9" w14:textId="276C073E" w:rsidR="009A3546" w:rsidRPr="00102605" w:rsidRDefault="00C524AB" w:rsidP="00A0575B">
      <w:pPr>
        <w:numPr>
          <w:ilvl w:val="0"/>
          <w:numId w:val="46"/>
        </w:numPr>
        <w:spacing w:after="0" w:line="240" w:lineRule="auto"/>
        <w:ind w:left="426" w:hanging="426"/>
        <w:rPr>
          <w:color w:val="000000" w:themeColor="text1"/>
          <w:lang w:eastAsia="ja-JP"/>
        </w:rPr>
      </w:pPr>
      <w:r>
        <w:rPr>
          <w:color w:val="000000" w:themeColor="text1"/>
          <w:lang w:eastAsia="ja-JP"/>
        </w:rPr>
        <w:t>Sub-</w:t>
      </w:r>
      <w:r w:rsidR="009A3546" w:rsidRPr="00102605">
        <w:rPr>
          <w:color w:val="000000" w:themeColor="text1"/>
          <w:lang w:eastAsia="ja-JP"/>
        </w:rPr>
        <w:t>Project</w:t>
      </w:r>
      <w:r>
        <w:rPr>
          <w:color w:val="000000" w:themeColor="text1"/>
          <w:lang w:eastAsia="ja-JP"/>
        </w:rPr>
        <w:t>s</w:t>
      </w:r>
      <w:r w:rsidR="009A3546" w:rsidRPr="00102605">
        <w:rPr>
          <w:color w:val="000000" w:themeColor="text1"/>
          <w:lang w:eastAsia="ja-JP"/>
        </w:rPr>
        <w:t xml:space="preserve"> shall strive to generate employment and local economic </w:t>
      </w:r>
      <w:r w:rsidR="00102605" w:rsidRPr="00102605">
        <w:rPr>
          <w:color w:val="000000" w:themeColor="text1"/>
          <w:lang w:eastAsia="ja-JP"/>
        </w:rPr>
        <w:t>development.</w:t>
      </w:r>
    </w:p>
    <w:p w14:paraId="567164B5" w14:textId="2643B820"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Only commercial vehicles for passenger or cargo transport are </w:t>
      </w:r>
      <w:r w:rsidR="00102605" w:rsidRPr="00102605">
        <w:rPr>
          <w:color w:val="000000" w:themeColor="text1"/>
          <w:lang w:eastAsia="ja-JP"/>
        </w:rPr>
        <w:t>financed.</w:t>
      </w:r>
    </w:p>
    <w:p w14:paraId="57315DED" w14:textId="77777777"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Only full-electric battery-electric vehicles are eligible</w:t>
      </w:r>
      <w:r w:rsidRPr="00102605">
        <w:rPr>
          <w:color w:val="000000" w:themeColor="text1"/>
          <w:vertAlign w:val="superscript"/>
          <w:lang w:eastAsia="ja-JP"/>
        </w:rPr>
        <w:footnoteReference w:id="6"/>
      </w:r>
      <w:r w:rsidRPr="00102605">
        <w:rPr>
          <w:color w:val="000000" w:themeColor="text1"/>
          <w:lang w:eastAsia="ja-JP"/>
        </w:rPr>
        <w:t>;</w:t>
      </w:r>
    </w:p>
    <w:p w14:paraId="1BED35B3" w14:textId="05ECD401" w:rsidR="009A3546" w:rsidRPr="00102605"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 xml:space="preserve">No pilot program/project with less than 20 </w:t>
      </w:r>
      <w:r w:rsidR="00143368">
        <w:rPr>
          <w:color w:val="000000" w:themeColor="text1"/>
          <w:lang w:eastAsia="ja-JP"/>
        </w:rPr>
        <w:t>EVs</w:t>
      </w:r>
      <w:r w:rsidRPr="00102605">
        <w:rPr>
          <w:color w:val="000000" w:themeColor="text1"/>
          <w:lang w:eastAsia="ja-JP"/>
        </w:rPr>
        <w:t xml:space="preserve"> are financed:</w:t>
      </w:r>
    </w:p>
    <w:p w14:paraId="7631DD61" w14:textId="77777777" w:rsidR="009A3546" w:rsidRDefault="009A3546" w:rsidP="00A0575B">
      <w:pPr>
        <w:numPr>
          <w:ilvl w:val="0"/>
          <w:numId w:val="46"/>
        </w:numPr>
        <w:spacing w:after="0" w:line="240" w:lineRule="auto"/>
        <w:ind w:left="426" w:hanging="426"/>
        <w:rPr>
          <w:color w:val="000000" w:themeColor="text1"/>
          <w:lang w:eastAsia="ja-JP"/>
        </w:rPr>
      </w:pPr>
      <w:r w:rsidRPr="00102605">
        <w:rPr>
          <w:color w:val="000000" w:themeColor="text1"/>
          <w:lang w:eastAsia="ja-JP"/>
        </w:rPr>
        <w:t>All sub-projects will require a monitoring system to collect data and disseminate results</w:t>
      </w:r>
    </w:p>
    <w:p w14:paraId="5078DCC6" w14:textId="2AD9DD9E" w:rsidR="002267C8" w:rsidRDefault="002267C8" w:rsidP="00A0575B">
      <w:pPr>
        <w:numPr>
          <w:ilvl w:val="0"/>
          <w:numId w:val="46"/>
        </w:numPr>
        <w:spacing w:after="0" w:line="240" w:lineRule="auto"/>
        <w:ind w:left="426" w:hanging="426"/>
        <w:rPr>
          <w:color w:val="000000" w:themeColor="text1"/>
          <w:lang w:eastAsia="ja-JP"/>
        </w:rPr>
      </w:pPr>
      <w:r>
        <w:rPr>
          <w:color w:val="000000" w:themeColor="text1"/>
          <w:lang w:eastAsia="ja-JP"/>
        </w:rPr>
        <w:t xml:space="preserve">A minimum of </w:t>
      </w:r>
      <w:r w:rsidR="0091530D">
        <w:rPr>
          <w:color w:val="000000" w:themeColor="text1"/>
          <w:lang w:eastAsia="ja-JP"/>
        </w:rPr>
        <w:t xml:space="preserve">10% co-financing by the beneficiary is required </w:t>
      </w:r>
      <w:r w:rsidR="003340E8">
        <w:rPr>
          <w:color w:val="000000" w:themeColor="text1"/>
          <w:lang w:eastAsia="ja-JP"/>
        </w:rPr>
        <w:t>for accessing finance</w:t>
      </w:r>
    </w:p>
    <w:p w14:paraId="6E3F875C" w14:textId="4154E8BE" w:rsidR="003340E8" w:rsidRDefault="000513A2" w:rsidP="00A0575B">
      <w:pPr>
        <w:numPr>
          <w:ilvl w:val="0"/>
          <w:numId w:val="46"/>
        </w:numPr>
        <w:spacing w:after="0" w:line="240" w:lineRule="auto"/>
        <w:ind w:left="426" w:hanging="426"/>
        <w:rPr>
          <w:color w:val="000000" w:themeColor="text1"/>
          <w:lang w:eastAsia="ja-JP"/>
        </w:rPr>
      </w:pPr>
      <w:r>
        <w:rPr>
          <w:color w:val="000000" w:themeColor="text1"/>
          <w:lang w:eastAsia="ja-JP"/>
        </w:rPr>
        <w:t xml:space="preserve">sub-projects with a GCF equivalent risk category A </w:t>
      </w:r>
      <w:r w:rsidR="00880EC3">
        <w:rPr>
          <w:color w:val="000000" w:themeColor="text1"/>
          <w:lang w:eastAsia="ja-JP"/>
        </w:rPr>
        <w:t>are not eligible</w:t>
      </w:r>
    </w:p>
    <w:p w14:paraId="79378A2B" w14:textId="1E530E03" w:rsidR="00880EC3" w:rsidRDefault="00ED042E" w:rsidP="00A0575B">
      <w:pPr>
        <w:numPr>
          <w:ilvl w:val="0"/>
          <w:numId w:val="46"/>
        </w:numPr>
        <w:spacing w:after="0" w:line="240" w:lineRule="auto"/>
        <w:ind w:left="426" w:hanging="426"/>
        <w:rPr>
          <w:color w:val="000000" w:themeColor="text1"/>
          <w:lang w:eastAsia="ja-JP"/>
        </w:rPr>
      </w:pPr>
      <w:r>
        <w:rPr>
          <w:color w:val="000000" w:themeColor="text1"/>
          <w:lang w:eastAsia="ja-JP"/>
        </w:rPr>
        <w:t xml:space="preserve">Financing </w:t>
      </w:r>
      <w:r w:rsidR="00DB260C">
        <w:rPr>
          <w:color w:val="000000" w:themeColor="text1"/>
          <w:lang w:eastAsia="ja-JP"/>
        </w:rPr>
        <w:t>thresholds</w:t>
      </w:r>
      <w:r>
        <w:rPr>
          <w:color w:val="000000" w:themeColor="text1"/>
          <w:lang w:eastAsia="ja-JP"/>
        </w:rPr>
        <w:t xml:space="preserve"> for </w:t>
      </w:r>
      <w:r w:rsidR="00DB260C">
        <w:rPr>
          <w:color w:val="000000" w:themeColor="text1"/>
          <w:lang w:eastAsia="ja-JP"/>
        </w:rPr>
        <w:t xml:space="preserve">e-LCV sub-projects is up to 12.1 MM, </w:t>
      </w:r>
      <w:r w:rsidR="008C3103">
        <w:rPr>
          <w:color w:val="000000" w:themeColor="text1"/>
          <w:lang w:eastAsia="ja-JP"/>
        </w:rPr>
        <w:t>for e-buses between 25 MM to 50 MM, and for fast-chargin</w:t>
      </w:r>
      <w:r w:rsidR="00F731A6">
        <w:rPr>
          <w:color w:val="000000" w:themeColor="text1"/>
          <w:lang w:eastAsia="ja-JP"/>
        </w:rPr>
        <w:t>g</w:t>
      </w:r>
      <w:r w:rsidR="008C3103">
        <w:rPr>
          <w:color w:val="000000" w:themeColor="text1"/>
          <w:lang w:eastAsia="ja-JP"/>
        </w:rPr>
        <w:t xml:space="preserve"> infrastructure </w:t>
      </w:r>
      <w:r w:rsidR="00F731A6">
        <w:rPr>
          <w:color w:val="000000" w:themeColor="text1"/>
          <w:lang w:eastAsia="ja-JP"/>
        </w:rPr>
        <w:t>2 MM to 10 MM</w:t>
      </w:r>
    </w:p>
    <w:p w14:paraId="093D5CEC" w14:textId="3F933AFC" w:rsidR="00122180" w:rsidRDefault="00122180" w:rsidP="00A0575B">
      <w:pPr>
        <w:numPr>
          <w:ilvl w:val="0"/>
          <w:numId w:val="46"/>
        </w:numPr>
        <w:spacing w:after="0" w:line="240" w:lineRule="auto"/>
        <w:ind w:left="426" w:hanging="426"/>
        <w:rPr>
          <w:color w:val="000000" w:themeColor="text1"/>
          <w:lang w:eastAsia="ja-JP"/>
        </w:rPr>
      </w:pPr>
      <w:r>
        <w:rPr>
          <w:color w:val="000000" w:themeColor="text1"/>
          <w:lang w:eastAsia="ja-JP"/>
        </w:rPr>
        <w:t>Vehicles must be new</w:t>
      </w:r>
      <w:r w:rsidR="00BA4486">
        <w:rPr>
          <w:color w:val="000000" w:themeColor="text1"/>
          <w:lang w:eastAsia="ja-JP"/>
        </w:rPr>
        <w:t xml:space="preserve"> (not second hand)</w:t>
      </w:r>
    </w:p>
    <w:p w14:paraId="22DEB948" w14:textId="296EC978" w:rsidR="00BA4486" w:rsidRDefault="00BA4486" w:rsidP="00A0575B">
      <w:pPr>
        <w:numPr>
          <w:ilvl w:val="0"/>
          <w:numId w:val="46"/>
        </w:numPr>
        <w:spacing w:after="0" w:line="240" w:lineRule="auto"/>
        <w:ind w:left="426" w:hanging="426"/>
        <w:rPr>
          <w:color w:val="000000" w:themeColor="text1"/>
          <w:lang w:eastAsia="ja-JP"/>
        </w:rPr>
      </w:pPr>
      <w:r>
        <w:rPr>
          <w:color w:val="000000" w:themeColor="text1"/>
          <w:lang w:eastAsia="ja-JP"/>
        </w:rPr>
        <w:t>Technology must comply with current national regulations</w:t>
      </w:r>
      <w:r w:rsidR="007B330E">
        <w:rPr>
          <w:color w:val="000000" w:themeColor="text1"/>
          <w:lang w:eastAsia="ja-JP"/>
        </w:rPr>
        <w:t xml:space="preserve"> and must guarantee at least 8 years of battery</w:t>
      </w:r>
    </w:p>
    <w:p w14:paraId="0B134771" w14:textId="77777777" w:rsidR="001C00A9" w:rsidRPr="00CF0B4F" w:rsidRDefault="001C00A9" w:rsidP="00CF0B4F">
      <w:pPr>
        <w:numPr>
          <w:ilvl w:val="0"/>
          <w:numId w:val="46"/>
        </w:numPr>
        <w:spacing w:after="0" w:line="240" w:lineRule="auto"/>
        <w:ind w:left="426" w:hanging="426"/>
        <w:rPr>
          <w:color w:val="000000" w:themeColor="text1"/>
          <w:lang w:eastAsia="ja-JP"/>
        </w:rPr>
      </w:pPr>
      <w:r w:rsidRPr="00CF0B4F">
        <w:rPr>
          <w:color w:val="000000" w:themeColor="text1"/>
          <w:lang w:eastAsia="ja-JP"/>
        </w:rPr>
        <w:t>The operational solution must be proven by the promoters for each project, according to the characteristics of the beneficiaries</w:t>
      </w:r>
    </w:p>
    <w:p w14:paraId="7DA8814E" w14:textId="77777777" w:rsidR="001C00A9" w:rsidRPr="00CF0B4F" w:rsidRDefault="001C00A9" w:rsidP="00CF0B4F">
      <w:pPr>
        <w:numPr>
          <w:ilvl w:val="0"/>
          <w:numId w:val="46"/>
        </w:numPr>
        <w:spacing w:after="0" w:line="240" w:lineRule="auto"/>
        <w:ind w:left="426" w:hanging="426"/>
        <w:rPr>
          <w:color w:val="000000" w:themeColor="text1"/>
          <w:lang w:eastAsia="ja-JP"/>
        </w:rPr>
      </w:pPr>
      <w:r w:rsidRPr="00CF0B4F">
        <w:rPr>
          <w:color w:val="000000" w:themeColor="text1"/>
          <w:lang w:eastAsia="ja-JP"/>
        </w:rPr>
        <w:t>Purchase must include charging systems for the fleet</w:t>
      </w:r>
    </w:p>
    <w:p w14:paraId="44758393" w14:textId="77777777" w:rsidR="001C00A9" w:rsidRPr="00CF0B4F" w:rsidRDefault="001C00A9" w:rsidP="00CF0B4F">
      <w:pPr>
        <w:numPr>
          <w:ilvl w:val="0"/>
          <w:numId w:val="46"/>
        </w:numPr>
        <w:spacing w:after="0" w:line="240" w:lineRule="auto"/>
        <w:ind w:left="426" w:hanging="426"/>
        <w:rPr>
          <w:color w:val="000000" w:themeColor="text1"/>
          <w:lang w:eastAsia="ja-JP"/>
        </w:rPr>
      </w:pPr>
      <w:r w:rsidRPr="00CF0B4F">
        <w:rPr>
          <w:color w:val="000000" w:themeColor="text1"/>
          <w:lang w:eastAsia="ja-JP"/>
        </w:rPr>
        <w:t>Provision of technical maintenance must be provided</w:t>
      </w:r>
    </w:p>
    <w:p w14:paraId="6B456A27" w14:textId="01002E55" w:rsidR="001C00A9" w:rsidRPr="00CF0B4F" w:rsidRDefault="00213DD3" w:rsidP="00CF0B4F">
      <w:pPr>
        <w:numPr>
          <w:ilvl w:val="0"/>
          <w:numId w:val="46"/>
        </w:numPr>
        <w:spacing w:after="0" w:line="240" w:lineRule="auto"/>
        <w:ind w:left="426" w:hanging="426"/>
        <w:rPr>
          <w:color w:val="000000" w:themeColor="text1"/>
          <w:lang w:eastAsia="ja-JP"/>
        </w:rPr>
      </w:pPr>
      <w:r>
        <w:rPr>
          <w:color w:val="000000" w:themeColor="text1"/>
          <w:lang w:eastAsia="ja-JP"/>
        </w:rPr>
        <w:t>Vehicles must have a</w:t>
      </w:r>
      <w:r w:rsidR="001C00A9" w:rsidRPr="00CF0B4F">
        <w:rPr>
          <w:color w:val="000000" w:themeColor="text1"/>
          <w:lang w:eastAsia="ja-JP"/>
        </w:rPr>
        <w:t>t least 15 years of lifespan</w:t>
      </w:r>
    </w:p>
    <w:p w14:paraId="1727076C" w14:textId="499C62A7" w:rsidR="00A27135" w:rsidRPr="00CF0B4F" w:rsidRDefault="001C00A9" w:rsidP="00CF0B4F">
      <w:pPr>
        <w:numPr>
          <w:ilvl w:val="0"/>
          <w:numId w:val="46"/>
        </w:numPr>
        <w:spacing w:after="0" w:line="240" w:lineRule="auto"/>
        <w:ind w:left="426" w:hanging="426"/>
        <w:rPr>
          <w:color w:val="000000" w:themeColor="text1"/>
          <w:lang w:eastAsia="ja-JP"/>
        </w:rPr>
      </w:pPr>
      <w:r w:rsidRPr="00CF0B4F">
        <w:rPr>
          <w:color w:val="000000" w:themeColor="text1"/>
          <w:lang w:eastAsia="ja-JP"/>
        </w:rPr>
        <w:t>Satisfactory money laundering, integrity, and credit rating assessment</w:t>
      </w:r>
      <w:r w:rsidR="00213DD3">
        <w:rPr>
          <w:color w:val="000000" w:themeColor="text1"/>
          <w:lang w:eastAsia="ja-JP"/>
        </w:rPr>
        <w:t xml:space="preserve"> is required</w:t>
      </w:r>
      <w:r w:rsidR="00CF0B4F">
        <w:rPr>
          <w:color w:val="000000" w:themeColor="text1"/>
          <w:lang w:eastAsia="ja-JP"/>
        </w:rPr>
        <w:t>.</w:t>
      </w:r>
    </w:p>
    <w:p w14:paraId="7229B0BF" w14:textId="77777777" w:rsidR="00961383" w:rsidRPr="00102605" w:rsidRDefault="00961383" w:rsidP="00D07B6F">
      <w:pPr>
        <w:spacing w:after="0" w:line="240" w:lineRule="auto"/>
      </w:pPr>
    </w:p>
    <w:p w14:paraId="76B7149E" w14:textId="0652A0CA" w:rsidR="003A33A2" w:rsidRDefault="003A33A2" w:rsidP="00D07B6F">
      <w:pPr>
        <w:spacing w:after="0" w:line="240" w:lineRule="auto"/>
      </w:pPr>
      <w:r w:rsidRPr="00102605">
        <w:t xml:space="preserve">The </w:t>
      </w:r>
      <w:r w:rsidR="002C4CCA" w:rsidRPr="00102605">
        <w:t>Sub-Program 2</w:t>
      </w:r>
      <w:r w:rsidRPr="00102605">
        <w:t xml:space="preserve"> envisages to finance at least one investment </w:t>
      </w:r>
      <w:r w:rsidR="00C524AB">
        <w:t>sub-</w:t>
      </w:r>
      <w:r w:rsidRPr="00102605">
        <w:t xml:space="preserve">project in each participating country. Not more than </w:t>
      </w:r>
      <w:r w:rsidR="00E11268">
        <w:t>5</w:t>
      </w:r>
      <w:r w:rsidR="00AA7A35" w:rsidRPr="00102605">
        <w:t>0</w:t>
      </w:r>
      <w:r w:rsidRPr="00102605">
        <w:t xml:space="preserve">% of </w:t>
      </w:r>
      <w:r w:rsidR="00DC0088">
        <w:t xml:space="preserve">overall funding </w:t>
      </w:r>
      <w:r w:rsidRPr="00102605">
        <w:t>shall be invested in one specific country.</w:t>
      </w:r>
    </w:p>
    <w:p w14:paraId="19BFCD87" w14:textId="6CE67E1A" w:rsidR="00D07B6F" w:rsidRDefault="00D07B6F" w:rsidP="00D07B6F">
      <w:pPr>
        <w:spacing w:after="0" w:line="240" w:lineRule="auto"/>
      </w:pPr>
    </w:p>
    <w:p w14:paraId="5ADD7754" w14:textId="77777777" w:rsidR="00AA0C68" w:rsidRDefault="00AA0C68" w:rsidP="00D07B6F">
      <w:pPr>
        <w:spacing w:after="0" w:line="240" w:lineRule="auto"/>
      </w:pPr>
    </w:p>
    <w:p w14:paraId="076987D4" w14:textId="5FBD8F16" w:rsidR="006029C5" w:rsidRPr="00102605" w:rsidRDefault="002C4CCA" w:rsidP="00E45BBC">
      <w:pPr>
        <w:pStyle w:val="Ttulo1"/>
        <w:numPr>
          <w:ilvl w:val="1"/>
          <w:numId w:val="1"/>
        </w:numPr>
        <w:spacing w:before="0" w:after="0" w:line="240" w:lineRule="auto"/>
        <w:ind w:left="567" w:hanging="567"/>
      </w:pPr>
      <w:r w:rsidRPr="00102605">
        <w:t xml:space="preserve"> </w:t>
      </w:r>
      <w:bookmarkStart w:id="10" w:name="_Toc114152204"/>
      <w:r w:rsidRPr="00102605">
        <w:t>Sub-Program 2</w:t>
      </w:r>
      <w:r w:rsidR="006029C5" w:rsidRPr="00102605">
        <w:t xml:space="preserve"> implementation scheme</w:t>
      </w:r>
      <w:bookmarkEnd w:id="10"/>
      <w:r w:rsidR="006029C5" w:rsidRPr="00102605">
        <w:t xml:space="preserve"> </w:t>
      </w:r>
    </w:p>
    <w:p w14:paraId="2127EACA" w14:textId="77777777" w:rsidR="00D07B6F" w:rsidRDefault="00D07B6F" w:rsidP="00D07B6F">
      <w:pPr>
        <w:spacing w:after="0" w:line="240" w:lineRule="auto"/>
        <w:rPr>
          <w:lang w:eastAsia="ja-JP"/>
        </w:rPr>
      </w:pPr>
    </w:p>
    <w:p w14:paraId="768C89A2" w14:textId="6F1A0D92" w:rsidR="006029C5" w:rsidRDefault="006029C5" w:rsidP="00D07B6F">
      <w:pPr>
        <w:spacing w:after="0" w:line="240" w:lineRule="auto"/>
        <w:rPr>
          <w:lang w:eastAsia="ja-JP"/>
        </w:rPr>
      </w:pPr>
      <w:r w:rsidRPr="00102605">
        <w:rPr>
          <w:lang w:eastAsia="ja-JP"/>
        </w:rPr>
        <w:t xml:space="preserve">With regards to the Funding Proposal led by CAF, E-Motion will be implemented jointly by the following two institutions: </w:t>
      </w:r>
    </w:p>
    <w:p w14:paraId="55879811" w14:textId="77777777" w:rsidR="00A0575B" w:rsidRPr="00102605" w:rsidRDefault="00A0575B" w:rsidP="00D07B6F">
      <w:pPr>
        <w:spacing w:after="0" w:line="240" w:lineRule="auto"/>
        <w:rPr>
          <w:lang w:eastAsia="ja-JP"/>
        </w:rPr>
      </w:pPr>
    </w:p>
    <w:p w14:paraId="0888FFD8" w14:textId="44709701" w:rsidR="006029C5" w:rsidRPr="00102605" w:rsidRDefault="006029C5" w:rsidP="00A0575B">
      <w:pPr>
        <w:pStyle w:val="Prrafodelista"/>
        <w:numPr>
          <w:ilvl w:val="0"/>
          <w:numId w:val="27"/>
        </w:numPr>
        <w:spacing w:after="0" w:line="240" w:lineRule="auto"/>
        <w:ind w:left="426" w:hanging="426"/>
        <w:rPr>
          <w:lang w:eastAsia="ja-JP"/>
        </w:rPr>
      </w:pPr>
      <w:r w:rsidRPr="00102605">
        <w:rPr>
          <w:lang w:eastAsia="ja-JP"/>
        </w:rPr>
        <w:t xml:space="preserve">CAF, as accredited entity, executing entity and co-financier for the financial assistance targeting public and private sector </w:t>
      </w:r>
      <w:r w:rsidR="00C524AB">
        <w:rPr>
          <w:lang w:eastAsia="ja-JP"/>
        </w:rPr>
        <w:t>sub-</w:t>
      </w:r>
      <w:r w:rsidRPr="00102605">
        <w:rPr>
          <w:lang w:eastAsia="ja-JP"/>
        </w:rPr>
        <w:t>project owners (Component 2</w:t>
      </w:r>
      <w:r w:rsidR="000776CB">
        <w:rPr>
          <w:lang w:eastAsia="ja-JP"/>
        </w:rPr>
        <w:t xml:space="preserve">, </w:t>
      </w:r>
      <w:r w:rsidRPr="00102605">
        <w:rPr>
          <w:lang w:eastAsia="ja-JP"/>
        </w:rPr>
        <w:t>3</w:t>
      </w:r>
      <w:r w:rsidR="000776CB">
        <w:rPr>
          <w:lang w:eastAsia="ja-JP"/>
        </w:rPr>
        <w:t>, and 4</w:t>
      </w:r>
      <w:r w:rsidRPr="00102605">
        <w:rPr>
          <w:lang w:eastAsia="ja-JP"/>
        </w:rPr>
        <w:t xml:space="preserve">), and to support the technical assistance dedicated to </w:t>
      </w:r>
      <w:r w:rsidR="00D05D43">
        <w:rPr>
          <w:lang w:eastAsia="ja-JP"/>
        </w:rPr>
        <w:t>sub-</w:t>
      </w:r>
      <w:r w:rsidRPr="00102605">
        <w:rPr>
          <w:lang w:eastAsia="ja-JP"/>
        </w:rPr>
        <w:t>projects’ preparation (Component 1, Output 1.5.3)</w:t>
      </w:r>
    </w:p>
    <w:p w14:paraId="0ACBBBD7" w14:textId="34E32372" w:rsidR="006029C5" w:rsidRPr="00102605" w:rsidRDefault="006029C5" w:rsidP="00A0575B">
      <w:pPr>
        <w:pStyle w:val="Prrafodelista"/>
        <w:numPr>
          <w:ilvl w:val="0"/>
          <w:numId w:val="27"/>
        </w:numPr>
        <w:spacing w:after="0" w:line="240" w:lineRule="auto"/>
        <w:ind w:left="426" w:hanging="426"/>
        <w:rPr>
          <w:lang w:eastAsia="ja-JP"/>
        </w:rPr>
      </w:pPr>
      <w:r w:rsidRPr="00102605">
        <w:rPr>
          <w:lang w:eastAsia="ja-JP"/>
        </w:rPr>
        <w:t>GIZ, as executing entity for technical assistance (outputs under all sub-component under Component 1</w:t>
      </w:r>
      <w:r w:rsidR="0000509F">
        <w:rPr>
          <w:lang w:eastAsia="ja-JP"/>
        </w:rPr>
        <w:t>, ex</w:t>
      </w:r>
      <w:r w:rsidR="002A3953">
        <w:rPr>
          <w:lang w:eastAsia="ja-JP"/>
        </w:rPr>
        <w:t>c</w:t>
      </w:r>
      <w:r w:rsidR="0000509F">
        <w:rPr>
          <w:lang w:eastAsia="ja-JP"/>
        </w:rPr>
        <w:t>e</w:t>
      </w:r>
      <w:r w:rsidR="002A3953">
        <w:rPr>
          <w:lang w:eastAsia="ja-JP"/>
        </w:rPr>
        <w:t>p</w:t>
      </w:r>
      <w:r w:rsidR="0000509F">
        <w:rPr>
          <w:lang w:eastAsia="ja-JP"/>
        </w:rPr>
        <w:t>t output 1.5.3</w:t>
      </w:r>
      <w:r w:rsidRPr="00102605">
        <w:rPr>
          <w:lang w:eastAsia="ja-JP"/>
        </w:rPr>
        <w:t>).</w:t>
      </w:r>
    </w:p>
    <w:p w14:paraId="72170B8E" w14:textId="77777777" w:rsidR="00D07B6F" w:rsidRDefault="00D07B6F" w:rsidP="00D07B6F">
      <w:pPr>
        <w:spacing w:after="0" w:line="240" w:lineRule="auto"/>
        <w:rPr>
          <w:lang w:eastAsia="ja-JP"/>
        </w:rPr>
      </w:pPr>
    </w:p>
    <w:p w14:paraId="44F1EDB0" w14:textId="2B19BA40" w:rsidR="006029C5" w:rsidRDefault="006029C5" w:rsidP="00D07B6F">
      <w:pPr>
        <w:spacing w:after="0" w:line="240" w:lineRule="auto"/>
        <w:rPr>
          <w:lang w:eastAsia="ja-JP"/>
        </w:rPr>
      </w:pPr>
      <w:r w:rsidRPr="00102605">
        <w:rPr>
          <w:lang w:eastAsia="ja-JP"/>
        </w:rPr>
        <w:t xml:space="preserve">The proposed implementation structure </w:t>
      </w:r>
      <w:proofErr w:type="gramStart"/>
      <w:r w:rsidRPr="00102605">
        <w:rPr>
          <w:lang w:eastAsia="ja-JP"/>
        </w:rPr>
        <w:t>takes into account</w:t>
      </w:r>
      <w:proofErr w:type="gramEnd"/>
      <w:r w:rsidRPr="00102605">
        <w:rPr>
          <w:lang w:eastAsia="ja-JP"/>
        </w:rPr>
        <w:t xml:space="preserve"> executing entities’ expertise: technical assistance to public bodies for GIZ, financing solutions and technical and public and private sector expertise for CAF. Both entities will be part of the PMU</w:t>
      </w:r>
      <w:r w:rsidR="00D05D43">
        <w:rPr>
          <w:lang w:eastAsia="ja-JP"/>
        </w:rPr>
        <w:t>.</w:t>
      </w:r>
    </w:p>
    <w:p w14:paraId="05C0D203" w14:textId="77777777" w:rsidR="00D07B6F" w:rsidRPr="00102605" w:rsidRDefault="00D07B6F" w:rsidP="00D07B6F">
      <w:pPr>
        <w:spacing w:after="0" w:line="240" w:lineRule="auto"/>
        <w:rPr>
          <w:lang w:eastAsia="ja-JP"/>
        </w:rPr>
      </w:pPr>
    </w:p>
    <w:p w14:paraId="103856D3" w14:textId="514574D6" w:rsidR="006029C5" w:rsidRDefault="006029C5" w:rsidP="00D07B6F">
      <w:pPr>
        <w:spacing w:after="0" w:line="240" w:lineRule="auto"/>
        <w:rPr>
          <w:lang w:eastAsia="ja-JP"/>
        </w:rPr>
      </w:pPr>
      <w:r w:rsidRPr="00102605">
        <w:rPr>
          <w:lang w:eastAsia="ja-JP"/>
        </w:rPr>
        <w:t xml:space="preserve">CAF project teams will be responsible for the identification, appraisal, </w:t>
      </w:r>
      <w:r w:rsidR="00102605" w:rsidRPr="00102605">
        <w:rPr>
          <w:lang w:eastAsia="ja-JP"/>
        </w:rPr>
        <w:t>implementation,</w:t>
      </w:r>
      <w:r w:rsidRPr="00102605">
        <w:rPr>
          <w:lang w:eastAsia="ja-JP"/>
        </w:rPr>
        <w:t xml:space="preserve"> and evaluation of eligible investments of the E-MOTION Sub-</w:t>
      </w:r>
      <w:r w:rsidR="00DD7442" w:rsidRPr="00102605">
        <w:rPr>
          <w:lang w:eastAsia="ja-JP"/>
        </w:rPr>
        <w:t>Program</w:t>
      </w:r>
      <w:r w:rsidRPr="00102605">
        <w:rPr>
          <w:lang w:eastAsia="ja-JP"/>
        </w:rPr>
        <w:t xml:space="preserve"> 2. The </w:t>
      </w:r>
      <w:r w:rsidR="00D05D43">
        <w:rPr>
          <w:lang w:eastAsia="ja-JP"/>
        </w:rPr>
        <w:t>sub-</w:t>
      </w:r>
      <w:r w:rsidRPr="00102605">
        <w:rPr>
          <w:lang w:eastAsia="ja-JP"/>
        </w:rPr>
        <w:t>projects’ appraisal process will follow CAF’s procedures</w:t>
      </w:r>
      <w:r w:rsidR="00BE4377">
        <w:rPr>
          <w:rStyle w:val="Refdenotaalpie"/>
          <w:lang w:eastAsia="ja-JP"/>
        </w:rPr>
        <w:footnoteReference w:id="7"/>
      </w:r>
      <w:r w:rsidRPr="00102605">
        <w:rPr>
          <w:lang w:eastAsia="ja-JP"/>
        </w:rPr>
        <w:t xml:space="preserve">. </w:t>
      </w:r>
      <w:proofErr w:type="gramStart"/>
      <w:r w:rsidRPr="00102605">
        <w:rPr>
          <w:lang w:eastAsia="ja-JP"/>
        </w:rPr>
        <w:t xml:space="preserve">In particular, </w:t>
      </w:r>
      <w:r w:rsidR="00102605" w:rsidRPr="00102605">
        <w:rPr>
          <w:lang w:eastAsia="ja-JP"/>
        </w:rPr>
        <w:t>business</w:t>
      </w:r>
      <w:proofErr w:type="gramEnd"/>
      <w:r w:rsidR="00102605" w:rsidRPr="00102605">
        <w:rPr>
          <w:lang w:eastAsia="ja-JP"/>
        </w:rPr>
        <w:t>,</w:t>
      </w:r>
      <w:r w:rsidRPr="00102605">
        <w:rPr>
          <w:lang w:eastAsia="ja-JP"/>
        </w:rPr>
        <w:t xml:space="preserve"> and technical teams will carry out due diligence and appraisals on each </w:t>
      </w:r>
      <w:r w:rsidR="00D05D43">
        <w:rPr>
          <w:lang w:eastAsia="ja-JP"/>
        </w:rPr>
        <w:t>sub-</w:t>
      </w:r>
      <w:r w:rsidRPr="00102605">
        <w:rPr>
          <w:lang w:eastAsia="ja-JP"/>
        </w:rPr>
        <w:t xml:space="preserve">project in accordance with CAF standards and procedures. </w:t>
      </w:r>
    </w:p>
    <w:p w14:paraId="70A014F9" w14:textId="77777777" w:rsidR="00D07B6F" w:rsidRPr="00102605" w:rsidRDefault="00D07B6F" w:rsidP="00D07B6F">
      <w:pPr>
        <w:spacing w:after="0" w:line="240" w:lineRule="auto"/>
        <w:rPr>
          <w:lang w:eastAsia="ja-JP"/>
        </w:rPr>
      </w:pPr>
    </w:p>
    <w:p w14:paraId="5C67A6FB" w14:textId="4770CC29" w:rsidR="006029C5" w:rsidRDefault="006029C5" w:rsidP="00D07B6F">
      <w:pPr>
        <w:spacing w:after="0" w:line="240" w:lineRule="auto"/>
        <w:rPr>
          <w:lang w:eastAsia="ja-JP"/>
        </w:rPr>
      </w:pPr>
      <w:r w:rsidRPr="00102605">
        <w:rPr>
          <w:lang w:eastAsia="ja-JP"/>
        </w:rPr>
        <w:t>GIZ will be responsible for the implementation of activities within the technical assistance Component 1</w:t>
      </w:r>
      <w:r w:rsidR="00447789" w:rsidRPr="00102605">
        <w:rPr>
          <w:lang w:eastAsia="ja-JP"/>
        </w:rPr>
        <w:t xml:space="preserve"> </w:t>
      </w:r>
      <w:r w:rsidR="00447789" w:rsidRPr="00EF47DA">
        <w:rPr>
          <w:lang w:eastAsia="ja-JP"/>
        </w:rPr>
        <w:t>(outputs 1.1.1a to 1.5.</w:t>
      </w:r>
      <w:r w:rsidR="006D77C0">
        <w:rPr>
          <w:lang w:eastAsia="ja-JP"/>
        </w:rPr>
        <w:t>2</w:t>
      </w:r>
      <w:r w:rsidR="00447789" w:rsidRPr="00EF47DA">
        <w:rPr>
          <w:lang w:eastAsia="ja-JP"/>
        </w:rPr>
        <w:t xml:space="preserve"> as per FP)</w:t>
      </w:r>
      <w:r w:rsidRPr="00102605">
        <w:rPr>
          <w:lang w:eastAsia="ja-JP"/>
        </w:rPr>
        <w:t xml:space="preserve">. GIZ will ensure the implementation of activities using a combination of own technical staff based in respective partner countries as well as independent consultants. GIZ will report to the E-Motion Steering Committee and to the CAF </w:t>
      </w:r>
      <w:r w:rsidR="002C4CCA" w:rsidRPr="00102605">
        <w:rPr>
          <w:lang w:eastAsia="ja-JP"/>
        </w:rPr>
        <w:t>Sub-Program 2</w:t>
      </w:r>
      <w:r w:rsidRPr="00102605">
        <w:rPr>
          <w:lang w:eastAsia="ja-JP"/>
        </w:rPr>
        <w:t xml:space="preserve"> Manager.</w:t>
      </w:r>
      <w:r w:rsidR="00840F02">
        <w:rPr>
          <w:lang w:eastAsia="ja-JP"/>
        </w:rPr>
        <w:t xml:space="preserve"> </w:t>
      </w:r>
      <w:r w:rsidR="00840F02" w:rsidRPr="00840F02">
        <w:rPr>
          <w:lang w:eastAsia="ja-JP"/>
        </w:rPr>
        <w:t>The environmental and social due diligence that is carried out will be consistent with technical assistance tasks, verifying that all the risks identified by have been considered and the mitigating factors established.</w:t>
      </w:r>
    </w:p>
    <w:p w14:paraId="7BFA9223" w14:textId="77777777" w:rsidR="00D07B6F" w:rsidRDefault="00D07B6F" w:rsidP="00D07B6F">
      <w:pPr>
        <w:spacing w:after="0" w:line="240" w:lineRule="auto"/>
        <w:rPr>
          <w:lang w:eastAsia="ja-JP"/>
        </w:rPr>
      </w:pPr>
    </w:p>
    <w:p w14:paraId="68103C6F" w14:textId="210640A8" w:rsidR="006029C5" w:rsidRPr="00102605" w:rsidRDefault="006029C5" w:rsidP="00D07B6F">
      <w:pPr>
        <w:spacing w:after="0" w:line="240" w:lineRule="auto"/>
      </w:pPr>
      <w:r w:rsidRPr="00102605">
        <w:t xml:space="preserve">The following figure shows the </w:t>
      </w:r>
      <w:r w:rsidR="002C4CCA" w:rsidRPr="00102605">
        <w:t>Sub-Program 2</w:t>
      </w:r>
      <w:r w:rsidRPr="00102605">
        <w:t xml:space="preserve"> implementation scheme.</w:t>
      </w:r>
    </w:p>
    <w:p w14:paraId="2799BFA5" w14:textId="77777777" w:rsidR="00621E65" w:rsidRDefault="00621E65" w:rsidP="00621E65">
      <w:pPr>
        <w:spacing w:after="0"/>
        <w:jc w:val="center"/>
      </w:pPr>
    </w:p>
    <w:p w14:paraId="25E74DA2" w14:textId="77777777" w:rsidR="00621E65" w:rsidRDefault="00621E65" w:rsidP="00621E65">
      <w:pPr>
        <w:spacing w:after="0"/>
        <w:jc w:val="center"/>
      </w:pPr>
    </w:p>
    <w:p w14:paraId="5FA68656" w14:textId="77777777" w:rsidR="00AA0C68" w:rsidRDefault="00AA0C68" w:rsidP="00621E65">
      <w:pPr>
        <w:spacing w:after="0"/>
        <w:jc w:val="center"/>
      </w:pPr>
    </w:p>
    <w:p w14:paraId="4BC8836B" w14:textId="77777777" w:rsidR="00AA0C68" w:rsidRDefault="00AA0C68" w:rsidP="00621E65">
      <w:pPr>
        <w:spacing w:after="0"/>
        <w:jc w:val="center"/>
      </w:pPr>
    </w:p>
    <w:p w14:paraId="0618789E" w14:textId="77777777" w:rsidR="00AA0C68" w:rsidRDefault="00AA0C68" w:rsidP="00621E65">
      <w:pPr>
        <w:spacing w:after="0"/>
        <w:jc w:val="center"/>
      </w:pPr>
    </w:p>
    <w:p w14:paraId="40C6ABC9" w14:textId="77777777" w:rsidR="00AA0C68" w:rsidRDefault="00AA0C68" w:rsidP="00621E65">
      <w:pPr>
        <w:spacing w:after="0"/>
        <w:jc w:val="center"/>
      </w:pPr>
    </w:p>
    <w:p w14:paraId="705A7531" w14:textId="77777777" w:rsidR="00621E65" w:rsidRDefault="00621E65" w:rsidP="00621E65">
      <w:pPr>
        <w:spacing w:after="0"/>
        <w:jc w:val="center"/>
      </w:pPr>
    </w:p>
    <w:p w14:paraId="249039F2" w14:textId="6DF2ABB2" w:rsidR="00E70254" w:rsidRDefault="00E70254" w:rsidP="00621E65">
      <w:pPr>
        <w:spacing w:after="0"/>
        <w:jc w:val="center"/>
      </w:pPr>
    </w:p>
    <w:p w14:paraId="11B1D024" w14:textId="77777777" w:rsidR="00D76B9B" w:rsidRDefault="00D76B9B" w:rsidP="00621E65">
      <w:pPr>
        <w:spacing w:after="0"/>
        <w:jc w:val="center"/>
      </w:pPr>
    </w:p>
    <w:p w14:paraId="77EF7DD7" w14:textId="77777777" w:rsidR="00E70254" w:rsidRDefault="00E70254" w:rsidP="00621E65">
      <w:pPr>
        <w:spacing w:after="0"/>
        <w:jc w:val="center"/>
      </w:pPr>
    </w:p>
    <w:p w14:paraId="6B8FB3D5" w14:textId="77777777" w:rsidR="002D24D7" w:rsidRDefault="002D24D7" w:rsidP="00621E65">
      <w:pPr>
        <w:spacing w:after="0"/>
        <w:jc w:val="center"/>
      </w:pPr>
    </w:p>
    <w:p w14:paraId="3D6F9526" w14:textId="77777777" w:rsidR="00621E65" w:rsidRDefault="00621E65" w:rsidP="00621E65">
      <w:pPr>
        <w:spacing w:after="0"/>
        <w:jc w:val="center"/>
      </w:pPr>
    </w:p>
    <w:p w14:paraId="4E1ED82F" w14:textId="594EC1D9" w:rsidR="006029C5" w:rsidRPr="00102605" w:rsidRDefault="006029C5" w:rsidP="00D4288F">
      <w:pPr>
        <w:spacing w:after="0"/>
        <w:jc w:val="center"/>
      </w:pPr>
      <w:r w:rsidRPr="00102605">
        <w:t xml:space="preserve">Figure </w:t>
      </w:r>
      <w:r>
        <w:fldChar w:fldCharType="begin"/>
      </w:r>
      <w:r>
        <w:instrText>SEQ Figure \* ARABIC</w:instrText>
      </w:r>
      <w:r>
        <w:fldChar w:fldCharType="separate"/>
      </w:r>
      <w:r w:rsidR="00841754">
        <w:rPr>
          <w:noProof/>
        </w:rPr>
        <w:t>1</w:t>
      </w:r>
      <w:r>
        <w:fldChar w:fldCharType="end"/>
      </w:r>
      <w:r w:rsidRPr="00102605">
        <w:t xml:space="preserve">: </w:t>
      </w:r>
      <w:r w:rsidR="001252A6" w:rsidRPr="00102605">
        <w:t>Illustration of implementation arrangements</w:t>
      </w:r>
    </w:p>
    <w:p w14:paraId="10585606" w14:textId="5C3A5683" w:rsidR="006029C5" w:rsidRPr="00102605" w:rsidRDefault="00E45BBC" w:rsidP="00D07B6F">
      <w:pPr>
        <w:spacing w:after="0" w:line="240" w:lineRule="auto"/>
        <w:jc w:val="center"/>
      </w:pPr>
      <w:r>
        <w:rPr>
          <w:noProof/>
        </w:rPr>
        <w:drawing>
          <wp:inline distT="0" distB="0" distL="0" distR="0" wp14:anchorId="62B5C8EE" wp14:editId="4024FA9B">
            <wp:extent cx="5418910" cy="2941983"/>
            <wp:effectExtent l="0" t="0" r="0" b="0"/>
            <wp:docPr id="1" name="Imagen 1"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PowerPoint&#10;&#10;Descripción generada automáticamente"/>
                    <pic:cNvPicPr/>
                  </pic:nvPicPr>
                  <pic:blipFill rotWithShape="1">
                    <a:blip r:embed="rId11"/>
                    <a:srcRect l="30235" t="30389" r="12500" b="14340"/>
                    <a:stretch/>
                  </pic:blipFill>
                  <pic:spPr bwMode="auto">
                    <a:xfrm>
                      <a:off x="0" y="0"/>
                      <a:ext cx="5457675" cy="2963029"/>
                    </a:xfrm>
                    <a:prstGeom prst="rect">
                      <a:avLst/>
                    </a:prstGeom>
                    <a:ln>
                      <a:noFill/>
                    </a:ln>
                    <a:extLst>
                      <a:ext uri="{53640926-AAD7-44D8-BBD7-CCE9431645EC}">
                        <a14:shadowObscured xmlns:a14="http://schemas.microsoft.com/office/drawing/2010/main"/>
                      </a:ext>
                    </a:extLst>
                  </pic:spPr>
                </pic:pic>
              </a:graphicData>
            </a:graphic>
          </wp:inline>
        </w:drawing>
      </w:r>
    </w:p>
    <w:p w14:paraId="27E8DA94" w14:textId="695BE43D" w:rsidR="006029C5" w:rsidRPr="00102605" w:rsidRDefault="006029C5" w:rsidP="00D07B6F">
      <w:pPr>
        <w:spacing w:after="0" w:line="240" w:lineRule="auto"/>
        <w:jc w:val="center"/>
        <w:rPr>
          <w:i/>
          <w:iCs/>
        </w:rPr>
      </w:pPr>
      <w:r w:rsidRPr="00D07B6F">
        <w:rPr>
          <w:i/>
          <w:iCs/>
          <w:sz w:val="20"/>
          <w:szCs w:val="20"/>
        </w:rPr>
        <w:t xml:space="preserve">Source: </w:t>
      </w:r>
      <w:r w:rsidR="006056F0" w:rsidRPr="00D07B6F">
        <w:rPr>
          <w:i/>
          <w:iCs/>
          <w:sz w:val="20"/>
          <w:szCs w:val="20"/>
        </w:rPr>
        <w:t>CAF “E-Motion: E-Mobility and Low Carbon Transportation” GCF Funding Proposal</w:t>
      </w:r>
    </w:p>
    <w:p w14:paraId="778345BE" w14:textId="77777777" w:rsidR="00621E65" w:rsidRDefault="00621E65" w:rsidP="00D07B6F">
      <w:pPr>
        <w:spacing w:after="0" w:line="240" w:lineRule="auto"/>
      </w:pPr>
    </w:p>
    <w:p w14:paraId="0DEF0985" w14:textId="7CA2FF5A" w:rsidR="006029C5" w:rsidRDefault="006029C5" w:rsidP="00D07B6F">
      <w:pPr>
        <w:spacing w:after="0" w:line="240" w:lineRule="auto"/>
      </w:pPr>
      <w:r w:rsidRPr="00102605">
        <w:t xml:space="preserve">According to the Environmental and Social Risk Management Policy for CAF-funded Operations, when CAF is the lead or coordinator of the financing, CAF procedures are used for the due diligence required and implemented by the client. All </w:t>
      </w:r>
      <w:r w:rsidR="00102605" w:rsidRPr="00102605">
        <w:t>activities</w:t>
      </w:r>
      <w:r w:rsidRPr="00102605">
        <w:t xml:space="preserve"> need to comply with these requirements. All </w:t>
      </w:r>
      <w:r w:rsidR="00102605" w:rsidRPr="00102605">
        <w:t>activities</w:t>
      </w:r>
      <w:r w:rsidRPr="00102605">
        <w:t xml:space="preserve"> undergo environmental and social appraisal both to help CAF decide if the </w:t>
      </w:r>
      <w:r w:rsidR="00C524AB">
        <w:t>sub-</w:t>
      </w:r>
      <w:r w:rsidRPr="00102605">
        <w:t>project</w:t>
      </w:r>
      <w:r w:rsidR="00C524AB">
        <w:t>s</w:t>
      </w:r>
      <w:r w:rsidRPr="00102605">
        <w:t xml:space="preserve"> should be financed and, if so, the way in which environmental and social risks and impacts should be addressed in its planning, </w:t>
      </w:r>
      <w:r w:rsidR="00102605" w:rsidRPr="00102605">
        <w:t>implementation,</w:t>
      </w:r>
      <w:r w:rsidRPr="00102605">
        <w:t xml:space="preserve"> and operation.</w:t>
      </w:r>
    </w:p>
    <w:p w14:paraId="142B2B71" w14:textId="77777777" w:rsidR="00D07B6F" w:rsidRPr="00102605" w:rsidRDefault="00D07B6F" w:rsidP="00D07B6F">
      <w:pPr>
        <w:spacing w:after="0" w:line="240" w:lineRule="auto"/>
      </w:pPr>
    </w:p>
    <w:p w14:paraId="6FB1C63E" w14:textId="4EBA3171" w:rsidR="006029C5" w:rsidRPr="00102605" w:rsidRDefault="006029C5" w:rsidP="00D07B6F">
      <w:pPr>
        <w:pStyle w:val="Ttulo1"/>
        <w:numPr>
          <w:ilvl w:val="0"/>
          <w:numId w:val="1"/>
        </w:numPr>
        <w:spacing w:before="0" w:after="0" w:line="240" w:lineRule="auto"/>
      </w:pPr>
      <w:bookmarkStart w:id="11" w:name="_Toc114152205"/>
      <w:r w:rsidRPr="00102605">
        <w:t>Country context</w:t>
      </w:r>
      <w:bookmarkEnd w:id="11"/>
    </w:p>
    <w:p w14:paraId="4400C57B" w14:textId="77777777" w:rsidR="00976CF9" w:rsidRPr="00102605" w:rsidRDefault="00976CF9" w:rsidP="00D07B6F">
      <w:pPr>
        <w:spacing w:after="0" w:line="240" w:lineRule="auto"/>
      </w:pPr>
    </w:p>
    <w:p w14:paraId="6D58FBE6" w14:textId="18CEA977" w:rsidR="00976CF9" w:rsidRPr="00102605" w:rsidRDefault="00976CF9" w:rsidP="00E45BBC">
      <w:pPr>
        <w:pStyle w:val="Ttulo1"/>
        <w:numPr>
          <w:ilvl w:val="1"/>
          <w:numId w:val="1"/>
        </w:numPr>
        <w:spacing w:before="0" w:after="0" w:line="240" w:lineRule="auto"/>
        <w:ind w:left="567" w:hanging="567"/>
      </w:pPr>
      <w:bookmarkStart w:id="12" w:name="_Toc114152206"/>
      <w:r w:rsidRPr="00102605">
        <w:t>Policies and applicable regulatory frameworks</w:t>
      </w:r>
      <w:bookmarkEnd w:id="12"/>
      <w:r w:rsidRPr="00102605">
        <w:t xml:space="preserve"> </w:t>
      </w:r>
    </w:p>
    <w:p w14:paraId="2335F97F" w14:textId="77777777" w:rsidR="00D07B6F" w:rsidRDefault="00D07B6F" w:rsidP="00D07B6F">
      <w:pPr>
        <w:spacing w:after="0" w:line="240" w:lineRule="auto"/>
      </w:pPr>
    </w:p>
    <w:p w14:paraId="7278BB48" w14:textId="4D550B1C" w:rsidR="00E3734B" w:rsidRDefault="00E3734B" w:rsidP="00D07B6F">
      <w:pPr>
        <w:spacing w:after="0" w:line="240" w:lineRule="auto"/>
      </w:pPr>
      <w:r w:rsidRPr="00102605">
        <w:t xml:space="preserve">All sub-projects supported by the </w:t>
      </w:r>
      <w:r w:rsidR="004D41E4" w:rsidRPr="00102605">
        <w:t>Sub-Program 2</w:t>
      </w:r>
      <w:r w:rsidR="006029C5" w:rsidRPr="00102605">
        <w:t xml:space="preserve"> </w:t>
      </w:r>
      <w:r w:rsidRPr="00102605">
        <w:t xml:space="preserve">will need to </w:t>
      </w:r>
      <w:r w:rsidR="00102605" w:rsidRPr="00102605">
        <w:t>demonstrate</w:t>
      </w:r>
      <w:r w:rsidRPr="00102605">
        <w:t xml:space="preserve"> to be in full compliance with </w:t>
      </w:r>
      <w:r w:rsidRPr="00102605">
        <w:rPr>
          <w:rFonts w:cs="Arial"/>
          <w:bCs/>
        </w:rPr>
        <w:t xml:space="preserve">the requirements established under the applicable E&amp;S laws and </w:t>
      </w:r>
      <w:r w:rsidR="006029C5" w:rsidRPr="00102605">
        <w:t>regulations in the selected countries: Panamá, Paraguay, and Uruguay.</w:t>
      </w:r>
      <w:r w:rsidRPr="00102605">
        <w:t xml:space="preserve"> During the environmental and social due diligence of each sub-project, </w:t>
      </w:r>
      <w:r w:rsidR="00517C9F" w:rsidRPr="00102605">
        <w:t xml:space="preserve">the </w:t>
      </w:r>
      <w:r w:rsidR="002A4E32">
        <w:t>Implementing</w:t>
      </w:r>
      <w:r w:rsidR="002A4E32" w:rsidRPr="00102605">
        <w:t xml:space="preserve"> </w:t>
      </w:r>
      <w:r w:rsidR="00517C9F" w:rsidRPr="00102605">
        <w:t>Entity will identify the competent authorities, the applicable laws, and all the applicable regulatory requirements and permits throughout the screening, scoping,</w:t>
      </w:r>
      <w:r w:rsidR="00AF6233" w:rsidRPr="00102605">
        <w:t xml:space="preserve"> </w:t>
      </w:r>
      <w:r w:rsidR="00102605" w:rsidRPr="00102605">
        <w:t>assessment</w:t>
      </w:r>
      <w:r w:rsidR="00517C9F" w:rsidRPr="00102605">
        <w:t xml:space="preserve"> stages</w:t>
      </w:r>
      <w:r w:rsidR="00AF6233" w:rsidRPr="00102605">
        <w:t xml:space="preserve">. Additional </w:t>
      </w:r>
      <w:r w:rsidR="00102605" w:rsidRPr="00102605">
        <w:t>requirements</w:t>
      </w:r>
      <w:r w:rsidR="00AF6233" w:rsidRPr="00102605">
        <w:t xml:space="preserve"> that arise in the </w:t>
      </w:r>
      <w:r w:rsidR="00102605" w:rsidRPr="00102605">
        <w:t>execution</w:t>
      </w:r>
      <w:r w:rsidR="00AF6233" w:rsidRPr="00102605">
        <w:t xml:space="preserve"> phase of the sub-project will be identified and </w:t>
      </w:r>
      <w:r w:rsidR="00102605" w:rsidRPr="00102605">
        <w:t>addressed</w:t>
      </w:r>
      <w:r w:rsidR="00AF6233" w:rsidRPr="00102605">
        <w:t xml:space="preserve"> as part of CAF´s monitoring and </w:t>
      </w:r>
      <w:r w:rsidR="00102605" w:rsidRPr="00102605">
        <w:t>supervision</w:t>
      </w:r>
      <w:r w:rsidR="00AF6233" w:rsidRPr="00102605">
        <w:t xml:space="preserve">.  </w:t>
      </w:r>
    </w:p>
    <w:p w14:paraId="524237C0" w14:textId="77777777" w:rsidR="00D07B6F" w:rsidRPr="00102605" w:rsidRDefault="00D07B6F" w:rsidP="00D07B6F">
      <w:pPr>
        <w:spacing w:after="0" w:line="240" w:lineRule="auto"/>
      </w:pPr>
    </w:p>
    <w:p w14:paraId="120F2CE4" w14:textId="441DBF64" w:rsidR="006029C5" w:rsidRDefault="006029C5" w:rsidP="00D07B6F">
      <w:pPr>
        <w:spacing w:after="0" w:line="240" w:lineRule="auto"/>
      </w:pPr>
      <w:r w:rsidRPr="00102605">
        <w:t xml:space="preserve">Countries were evaluated in terms of their climate policy and relevant transport policies and strategies. </w:t>
      </w:r>
    </w:p>
    <w:p w14:paraId="712CC27F" w14:textId="77777777" w:rsidR="00D07B6F" w:rsidRPr="00102605" w:rsidRDefault="00D07B6F" w:rsidP="00D07B6F">
      <w:pPr>
        <w:spacing w:after="0" w:line="240" w:lineRule="auto"/>
      </w:pPr>
    </w:p>
    <w:p w14:paraId="6B39DDC0" w14:textId="793D69A6" w:rsidR="006029C5" w:rsidRPr="00102605" w:rsidRDefault="006029C5" w:rsidP="00D07B6F">
      <w:pPr>
        <w:spacing w:after="0" w:line="240" w:lineRule="auto"/>
      </w:pPr>
      <w:r w:rsidRPr="00102605">
        <w:t>The updated Nationally Determined Contributions (NDCs) of Sub-</w:t>
      </w:r>
      <w:r w:rsidR="00DD7442" w:rsidRPr="00102605">
        <w:t>Program</w:t>
      </w:r>
      <w:r w:rsidRPr="00102605">
        <w:t xml:space="preserve"> 2 countries all include measures to reduce transport emissions. </w:t>
      </w:r>
      <w:proofErr w:type="gramStart"/>
      <w:r w:rsidRPr="00102605">
        <w:t>The majority of</w:t>
      </w:r>
      <w:proofErr w:type="gramEnd"/>
      <w:r w:rsidRPr="00102605">
        <w:t xml:space="preserve"> countries have included in the NDCs electric mobility as a core mitigation measure to reduce transport emissions and have formulated concrete electrification targets through regulations, policies or EV roadmaps.</w:t>
      </w:r>
    </w:p>
    <w:p w14:paraId="25FCEE10" w14:textId="5161AF32" w:rsidR="006029C5" w:rsidRDefault="006029C5" w:rsidP="00D07B6F">
      <w:pPr>
        <w:spacing w:after="0" w:line="240" w:lineRule="auto"/>
      </w:pPr>
      <w:r w:rsidRPr="00102605">
        <w:t>The following section is an overview of the countries, including population, vehicle data, major EV policies and the climate policies of the involved countries. The country summaries are based on the diagnostics performed by CAF.</w:t>
      </w:r>
      <w:r w:rsidRPr="00102605">
        <w:rPr>
          <w:rStyle w:val="Refdenotaalpie"/>
        </w:rPr>
        <w:footnoteReference w:id="8"/>
      </w:r>
    </w:p>
    <w:p w14:paraId="2B8AE0F7" w14:textId="77777777" w:rsidR="00D07B6F" w:rsidRPr="00102605" w:rsidRDefault="00D07B6F" w:rsidP="00D07B6F">
      <w:pPr>
        <w:spacing w:after="0" w:line="240" w:lineRule="auto"/>
      </w:pPr>
    </w:p>
    <w:p w14:paraId="4EDBD873" w14:textId="54DC798A" w:rsidR="006029C5" w:rsidRPr="00102605" w:rsidRDefault="006029C5" w:rsidP="00D07B6F">
      <w:pPr>
        <w:pStyle w:val="Ttulo1"/>
        <w:numPr>
          <w:ilvl w:val="2"/>
          <w:numId w:val="1"/>
        </w:numPr>
        <w:spacing w:before="0" w:after="0" w:line="240" w:lineRule="auto"/>
      </w:pPr>
      <w:bookmarkStart w:id="13" w:name="_Toc114152207"/>
      <w:r w:rsidRPr="00102605">
        <w:t>Panamá</w:t>
      </w:r>
      <w:bookmarkEnd w:id="13"/>
    </w:p>
    <w:p w14:paraId="41FD36A5" w14:textId="77777777" w:rsidR="00D07B6F" w:rsidRDefault="00D07B6F" w:rsidP="00D07B6F">
      <w:pPr>
        <w:spacing w:after="0" w:line="240" w:lineRule="auto"/>
      </w:pPr>
    </w:p>
    <w:p w14:paraId="161BA00B" w14:textId="762983F0" w:rsidR="0014513E" w:rsidRDefault="006029C5" w:rsidP="00D07B6F">
      <w:pPr>
        <w:spacing w:after="0" w:line="240" w:lineRule="auto"/>
      </w:pPr>
      <w:r w:rsidRPr="00102605">
        <w:t>Panama has an area of 75.475 km</w:t>
      </w:r>
      <w:r w:rsidRPr="00102605">
        <w:rPr>
          <w:vertAlign w:val="superscript"/>
        </w:rPr>
        <w:t>2</w:t>
      </w:r>
      <w:r w:rsidRPr="00102605">
        <w:t xml:space="preserve"> and about 4.</w:t>
      </w:r>
      <w:r w:rsidR="008B5C7B" w:rsidRPr="008B5C7B">
        <w:t xml:space="preserve"> </w:t>
      </w:r>
      <w:r w:rsidR="008B5C7B">
        <w:t>3816</w:t>
      </w:r>
      <w:r w:rsidRPr="00102605">
        <w:t xml:space="preserve"> million inhabitants. In </w:t>
      </w:r>
      <w:r w:rsidR="008B5C7B" w:rsidRPr="00102605">
        <w:t>20</w:t>
      </w:r>
      <w:r w:rsidR="008B5C7B">
        <w:t>21</w:t>
      </w:r>
      <w:r w:rsidRPr="00102605">
        <w:t xml:space="preserve">, the GDP per capita was </w:t>
      </w:r>
      <w:r w:rsidR="006419D0" w:rsidRPr="00102605">
        <w:t>1</w:t>
      </w:r>
      <w:r w:rsidR="006419D0">
        <w:t>4</w:t>
      </w:r>
      <w:r w:rsidR="006419D0" w:rsidRPr="00102605">
        <w:t>,</w:t>
      </w:r>
      <w:r w:rsidR="006419D0">
        <w:t>517</w:t>
      </w:r>
      <w:r w:rsidR="006419D0" w:rsidRPr="00102605">
        <w:t xml:space="preserve"> </w:t>
      </w:r>
      <w:r w:rsidRPr="00102605">
        <w:t>USD</w:t>
      </w:r>
      <w:r w:rsidR="00AE1BC1">
        <w:rPr>
          <w:rStyle w:val="Refdenotaalpie"/>
        </w:rPr>
        <w:footnoteReference w:id="9"/>
      </w:r>
      <w:r w:rsidRPr="00102605">
        <w:t>.</w:t>
      </w:r>
    </w:p>
    <w:p w14:paraId="374A6050" w14:textId="77777777" w:rsidR="00D07B6F" w:rsidRPr="00102605" w:rsidRDefault="00D07B6F" w:rsidP="00D07B6F">
      <w:pPr>
        <w:spacing w:after="0" w:line="240" w:lineRule="auto"/>
      </w:pPr>
    </w:p>
    <w:p w14:paraId="0398A8E7" w14:textId="344DB1AD" w:rsidR="00FE1A98" w:rsidRPr="00102605" w:rsidRDefault="00FE1A98" w:rsidP="00D07B6F">
      <w:pPr>
        <w:spacing w:after="0" w:line="240" w:lineRule="auto"/>
        <w:jc w:val="center"/>
        <w:rPr>
          <w:b/>
          <w:bCs/>
        </w:rPr>
      </w:pPr>
      <w:r w:rsidRPr="00102605">
        <w:rPr>
          <w:b/>
          <w:bCs/>
        </w:rPr>
        <w:t>Overview of applicable regulatory framework</w:t>
      </w:r>
    </w:p>
    <w:tbl>
      <w:tblPr>
        <w:tblStyle w:val="Tablaconcuadrcula1clara"/>
        <w:tblW w:w="9468" w:type="dxa"/>
        <w:tblInd w:w="108" w:type="dxa"/>
        <w:tblLook w:val="04A0" w:firstRow="1" w:lastRow="0" w:firstColumn="1" w:lastColumn="0" w:noHBand="0" w:noVBand="1"/>
      </w:tblPr>
      <w:tblGrid>
        <w:gridCol w:w="2828"/>
        <w:gridCol w:w="4260"/>
        <w:gridCol w:w="2380"/>
      </w:tblGrid>
      <w:tr w:rsidR="00D60288" w:rsidRPr="00102605" w14:paraId="2E311791" w14:textId="77777777" w:rsidTr="003E6FF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28" w:type="dxa"/>
            <w:noWrap/>
            <w:hideMark/>
          </w:tcPr>
          <w:p w14:paraId="00AF0CEB"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Title</w:t>
            </w:r>
          </w:p>
        </w:tc>
        <w:tc>
          <w:tcPr>
            <w:tcW w:w="4260" w:type="dxa"/>
            <w:noWrap/>
            <w:hideMark/>
          </w:tcPr>
          <w:p w14:paraId="568F5349" w14:textId="77777777" w:rsidR="00D60288" w:rsidRPr="00C9291B" w:rsidRDefault="00D60288" w:rsidP="00E2502C">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de-DE"/>
              </w:rPr>
            </w:pPr>
            <w:r w:rsidRPr="00C9291B">
              <w:rPr>
                <w:rFonts w:eastAsia="Times New Roman" w:cs="Arial"/>
                <w:color w:val="000000"/>
                <w:sz w:val="20"/>
                <w:szCs w:val="20"/>
                <w:lang w:eastAsia="de-DE"/>
              </w:rPr>
              <w:t>Description</w:t>
            </w:r>
          </w:p>
        </w:tc>
        <w:tc>
          <w:tcPr>
            <w:tcW w:w="2380" w:type="dxa"/>
            <w:noWrap/>
            <w:hideMark/>
          </w:tcPr>
          <w:p w14:paraId="537AEF09" w14:textId="77777777" w:rsidR="00D60288" w:rsidRPr="00C9291B" w:rsidRDefault="00D60288" w:rsidP="00E2502C">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de-DE"/>
              </w:rPr>
            </w:pPr>
            <w:r w:rsidRPr="00C9291B">
              <w:rPr>
                <w:rFonts w:eastAsia="Times New Roman" w:cs="Arial"/>
                <w:color w:val="000000"/>
                <w:sz w:val="20"/>
                <w:szCs w:val="20"/>
                <w:lang w:eastAsia="de-DE"/>
              </w:rPr>
              <w:t>Responsible institution</w:t>
            </w:r>
          </w:p>
        </w:tc>
      </w:tr>
      <w:tr w:rsidR="00D60288" w:rsidRPr="00102605" w14:paraId="44CF6562" w14:textId="77777777" w:rsidTr="003E6FF8">
        <w:trPr>
          <w:gridAfter w:val="2"/>
          <w:wAfter w:w="6640" w:type="dxa"/>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C61F3B6"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General</w:t>
            </w:r>
          </w:p>
        </w:tc>
      </w:tr>
      <w:tr w:rsidR="00D60288" w:rsidRPr="00102605" w14:paraId="060244F9"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3713964"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Constitution of the Republic of Panama</w:t>
            </w:r>
          </w:p>
        </w:tc>
        <w:tc>
          <w:tcPr>
            <w:tcW w:w="4260" w:type="dxa"/>
            <w:noWrap/>
          </w:tcPr>
          <w:p w14:paraId="09B39489"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Establishes</w:t>
            </w:r>
            <w:r>
              <w:rPr>
                <w:rFonts w:eastAsia="Times New Roman" w:cs="Arial"/>
                <w:color w:val="000000"/>
                <w:sz w:val="20"/>
                <w:szCs w:val="20"/>
                <w:lang w:eastAsia="de-DE"/>
              </w:rPr>
              <w:t xml:space="preserve"> within Title III</w:t>
            </w:r>
            <w:r w:rsidRPr="00102605">
              <w:rPr>
                <w:rFonts w:eastAsia="Times New Roman" w:cs="Arial"/>
                <w:color w:val="000000"/>
                <w:sz w:val="20"/>
                <w:szCs w:val="20"/>
                <w:lang w:eastAsia="de-DE"/>
              </w:rPr>
              <w:t xml:space="preserve"> the</w:t>
            </w:r>
            <w:r>
              <w:rPr>
                <w:rFonts w:eastAsia="Times New Roman" w:cs="Arial"/>
                <w:color w:val="000000"/>
                <w:sz w:val="20"/>
                <w:szCs w:val="20"/>
                <w:lang w:eastAsia="de-DE"/>
              </w:rPr>
              <w:t xml:space="preserve"> individual and social rights and duties and determines</w:t>
            </w:r>
            <w:r w:rsidRPr="00102605">
              <w:rPr>
                <w:rFonts w:eastAsia="Times New Roman" w:cs="Arial"/>
                <w:color w:val="000000"/>
                <w:sz w:val="20"/>
                <w:szCs w:val="20"/>
                <w:lang w:eastAsia="de-DE"/>
              </w:rPr>
              <w:t xml:space="preserve"> fundamental obligation of the state to ensure that the population lives in a healthy environment free of all contamination where the air, water and food satisfy the standards required for the appropriate development of human life</w:t>
            </w:r>
          </w:p>
        </w:tc>
        <w:tc>
          <w:tcPr>
            <w:tcW w:w="2380" w:type="dxa"/>
            <w:noWrap/>
          </w:tcPr>
          <w:p w14:paraId="49561221" w14:textId="77777777" w:rsidR="00D60288" w:rsidRPr="00EF47DA"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Congress</w:t>
            </w:r>
          </w:p>
        </w:tc>
      </w:tr>
      <w:tr w:rsidR="00D60288" w:rsidRPr="00102605" w14:paraId="29E762C1"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01CB4CA"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Law No. 41 of 1 July 1998 as amended by Law No. 8 of 25 March 2015</w:t>
            </w:r>
          </w:p>
        </w:tc>
        <w:tc>
          <w:tcPr>
            <w:tcW w:w="4260" w:type="dxa"/>
            <w:noWrap/>
          </w:tcPr>
          <w:p w14:paraId="085062EE"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General Environmental Law. Establishes the </w:t>
            </w:r>
            <w:r w:rsidRPr="00102605">
              <w:rPr>
                <w:rFonts w:eastAsia="Times New Roman" w:cs="Arial"/>
                <w:color w:val="000000"/>
                <w:sz w:val="20"/>
                <w:szCs w:val="20"/>
                <w:lang w:eastAsia="de-DE"/>
              </w:rPr>
              <w:t>basic principles for the protection, conservation, and recovery of the environment, promoting the sustainable use of natural resources</w:t>
            </w:r>
            <w:r>
              <w:rPr>
                <w:rFonts w:eastAsia="Times New Roman" w:cs="Arial"/>
                <w:color w:val="000000"/>
                <w:sz w:val="20"/>
                <w:szCs w:val="20"/>
                <w:lang w:eastAsia="de-DE"/>
              </w:rPr>
              <w:t xml:space="preserve">. </w:t>
            </w:r>
            <w:r w:rsidRPr="00A92693">
              <w:rPr>
                <w:rFonts w:eastAsia="Times New Roman" w:cs="Arial"/>
                <w:color w:val="000000"/>
                <w:sz w:val="20"/>
                <w:szCs w:val="20"/>
                <w:lang w:eastAsia="de-DE"/>
              </w:rPr>
              <w:t xml:space="preserve">In addition, it orders environmental management and integrates it into social and economic objectives, </w:t>
            </w:r>
            <w:proofErr w:type="gramStart"/>
            <w:r w:rsidRPr="00A92693">
              <w:rPr>
                <w:rFonts w:eastAsia="Times New Roman" w:cs="Arial"/>
                <w:color w:val="000000"/>
                <w:sz w:val="20"/>
                <w:szCs w:val="20"/>
                <w:lang w:eastAsia="de-DE"/>
              </w:rPr>
              <w:t>in order to</w:t>
            </w:r>
            <w:proofErr w:type="gramEnd"/>
            <w:r w:rsidRPr="00A92693">
              <w:rPr>
                <w:rFonts w:eastAsia="Times New Roman" w:cs="Arial"/>
                <w:color w:val="000000"/>
                <w:sz w:val="20"/>
                <w:szCs w:val="20"/>
                <w:lang w:eastAsia="de-DE"/>
              </w:rPr>
              <w:t xml:space="preserve"> achieve sustainable human development in the country. It also establishes a general framework on information and participation in environmental matters, and liability for environmental damage.</w:t>
            </w:r>
          </w:p>
        </w:tc>
        <w:tc>
          <w:tcPr>
            <w:tcW w:w="2380" w:type="dxa"/>
            <w:noWrap/>
          </w:tcPr>
          <w:p w14:paraId="0EF00B1F"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A203AD">
              <w:rPr>
                <w:rFonts w:eastAsia="Times New Roman" w:cs="Arial"/>
                <w:color w:val="000000"/>
                <w:sz w:val="20"/>
                <w:szCs w:val="20"/>
                <w:lang w:eastAsia="de-DE"/>
              </w:rPr>
              <w:t>Ministry of Environment</w:t>
            </w:r>
          </w:p>
        </w:tc>
      </w:tr>
      <w:tr w:rsidR="00D60288" w:rsidRPr="00102605" w14:paraId="46FBA63E"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CC44C53" w14:textId="77777777" w:rsidR="00D60288" w:rsidRPr="00EF47DA"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Law No. 8 of 25 March 2015</w:t>
            </w:r>
          </w:p>
        </w:tc>
        <w:tc>
          <w:tcPr>
            <w:tcW w:w="4260" w:type="dxa"/>
            <w:noWrap/>
          </w:tcPr>
          <w:p w14:paraId="01B0C733"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Environment is created</w:t>
            </w:r>
            <w:r>
              <w:rPr>
                <w:rFonts w:eastAsia="Times New Roman" w:cs="Arial"/>
                <w:color w:val="000000"/>
                <w:sz w:val="20"/>
                <w:szCs w:val="20"/>
                <w:lang w:eastAsia="de-DE"/>
              </w:rPr>
              <w:t xml:space="preserve"> and established </w:t>
            </w:r>
            <w:r w:rsidRPr="00102605">
              <w:rPr>
                <w:rFonts w:eastAsia="Times New Roman" w:cs="Arial"/>
                <w:color w:val="000000"/>
                <w:sz w:val="20"/>
                <w:szCs w:val="20"/>
                <w:lang w:eastAsia="de-DE"/>
              </w:rPr>
              <w:t>as the public governing body in charge of ensuring the protection, conservation and recovery of the environment, and the sustainable use of natural resources</w:t>
            </w:r>
            <w:r>
              <w:rPr>
                <w:rFonts w:eastAsia="Times New Roman" w:cs="Arial"/>
                <w:color w:val="000000"/>
                <w:sz w:val="20"/>
                <w:szCs w:val="20"/>
                <w:lang w:eastAsia="de-DE"/>
              </w:rPr>
              <w:t xml:space="preserve">. It ensures the compliance with and the implementation of the laws, and policies on the subject. </w:t>
            </w:r>
          </w:p>
        </w:tc>
        <w:tc>
          <w:tcPr>
            <w:tcW w:w="2380" w:type="dxa"/>
            <w:noWrap/>
          </w:tcPr>
          <w:p w14:paraId="75D6A818"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Environment</w:t>
            </w:r>
          </w:p>
        </w:tc>
      </w:tr>
      <w:tr w:rsidR="00D60288" w:rsidRPr="00102605" w14:paraId="536DDD05"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F257D4D" w14:textId="77777777" w:rsidR="00D60288" w:rsidRPr="00EF47DA"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Law No. 24 of 7 June 1995</w:t>
            </w:r>
          </w:p>
        </w:tc>
        <w:tc>
          <w:tcPr>
            <w:tcW w:w="4260" w:type="dxa"/>
            <w:noWrap/>
          </w:tcPr>
          <w:p w14:paraId="1C44D894"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Regulation regarding wildlife in Panama. The main purpose of this law is to establish that wildlife is part of the natural estate of Panama and that its protection, conservation, recovery, investigation and management and the development of genetic resources as well as unusual species and other varieties of wildlife are part of the public domain</w:t>
            </w:r>
          </w:p>
        </w:tc>
        <w:tc>
          <w:tcPr>
            <w:tcW w:w="2380" w:type="dxa"/>
            <w:noWrap/>
          </w:tcPr>
          <w:p w14:paraId="183564EF"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Environment</w:t>
            </w:r>
          </w:p>
        </w:tc>
      </w:tr>
      <w:tr w:rsidR="00D60288" w:rsidRPr="00102605" w14:paraId="78BDE0E1"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8C4EB7F" w14:textId="77777777"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Law N° 1 of 3 February 1994</w:t>
            </w:r>
          </w:p>
        </w:tc>
        <w:tc>
          <w:tcPr>
            <w:tcW w:w="4260" w:type="dxa"/>
            <w:noWrap/>
          </w:tcPr>
          <w:p w14:paraId="758B4971"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972AF">
              <w:rPr>
                <w:rFonts w:eastAsia="Times New Roman" w:cs="Arial"/>
                <w:color w:val="000000"/>
                <w:sz w:val="20"/>
                <w:szCs w:val="20"/>
                <w:lang w:eastAsia="de-DE"/>
              </w:rPr>
              <w:t xml:space="preserve">The purpose of this Law is the protection, conservation, improvement, enhancement, education, research, </w:t>
            </w:r>
            <w:proofErr w:type="gramStart"/>
            <w:r w:rsidRPr="00D972AF">
              <w:rPr>
                <w:rFonts w:eastAsia="Times New Roman" w:cs="Arial"/>
                <w:color w:val="000000"/>
                <w:sz w:val="20"/>
                <w:szCs w:val="20"/>
                <w:lang w:eastAsia="de-DE"/>
              </w:rPr>
              <w:t>management</w:t>
            </w:r>
            <w:proofErr w:type="gramEnd"/>
            <w:r w:rsidRPr="00D972AF">
              <w:rPr>
                <w:rFonts w:eastAsia="Times New Roman" w:cs="Arial"/>
                <w:color w:val="000000"/>
                <w:sz w:val="20"/>
                <w:szCs w:val="20"/>
                <w:lang w:eastAsia="de-DE"/>
              </w:rPr>
              <w:t xml:space="preserve"> and rational use of the forest resources of the Republic.</w:t>
            </w:r>
          </w:p>
        </w:tc>
        <w:tc>
          <w:tcPr>
            <w:tcW w:w="2380" w:type="dxa"/>
            <w:noWrap/>
          </w:tcPr>
          <w:p w14:paraId="7B8D59E0"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972AF">
              <w:rPr>
                <w:rFonts w:eastAsia="Times New Roman" w:cs="Arial"/>
                <w:color w:val="000000"/>
                <w:sz w:val="20"/>
                <w:szCs w:val="20"/>
                <w:lang w:eastAsia="de-DE"/>
              </w:rPr>
              <w:t>The National Institute of Renewable Natural Resources (INRENARE),</w:t>
            </w:r>
          </w:p>
        </w:tc>
      </w:tr>
      <w:tr w:rsidR="00D60288" w:rsidRPr="00102605" w14:paraId="1175E394"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7691758" w14:textId="77777777" w:rsidR="00D60288" w:rsidRPr="00102605" w:rsidRDefault="00D60288" w:rsidP="00E2502C">
            <w:pPr>
              <w:jc w:val="left"/>
              <w:rPr>
                <w:rFonts w:eastAsia="Times New Roman" w:cs="Arial"/>
                <w:bCs w:val="0"/>
                <w:color w:val="000000"/>
                <w:sz w:val="20"/>
                <w:szCs w:val="20"/>
                <w:lang w:eastAsia="de-DE"/>
              </w:rPr>
            </w:pPr>
            <w:r w:rsidRPr="00102605">
              <w:rPr>
                <w:rFonts w:eastAsia="Times New Roman" w:cs="Arial"/>
                <w:bCs w:val="0"/>
                <w:color w:val="000000"/>
                <w:sz w:val="20"/>
                <w:szCs w:val="20"/>
                <w:lang w:eastAsia="de-DE"/>
              </w:rPr>
              <w:t>Law No. 21 of 9 July 1980</w:t>
            </w:r>
          </w:p>
        </w:tc>
        <w:tc>
          <w:tcPr>
            <w:tcW w:w="4260" w:type="dxa"/>
            <w:noWrap/>
          </w:tcPr>
          <w:p w14:paraId="05B14B56"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Sea contamination and navigable waters are regulated. The main purpose of this law is to prohibit all disposal of any contaminating substance in navigable waters and Panamanian territorial sea. This prohibition is extended to Panamanian registered ships navigating in international waters</w:t>
            </w:r>
          </w:p>
        </w:tc>
        <w:tc>
          <w:tcPr>
            <w:tcW w:w="2380" w:type="dxa"/>
            <w:noWrap/>
          </w:tcPr>
          <w:p w14:paraId="7DA3D6D7"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4E05A5">
              <w:rPr>
                <w:rFonts w:eastAsia="Times New Roman" w:cs="Arial"/>
                <w:color w:val="000000"/>
                <w:sz w:val="20"/>
                <w:szCs w:val="20"/>
                <w:lang w:eastAsia="de-DE"/>
              </w:rPr>
              <w:t>General Directorate of Consular and Ships of the Ministry of finance and treasury,</w:t>
            </w:r>
            <w:r>
              <w:rPr>
                <w:rFonts w:eastAsia="Times New Roman" w:cs="Arial"/>
                <w:color w:val="000000"/>
                <w:sz w:val="20"/>
                <w:szCs w:val="20"/>
                <w:lang w:eastAsia="de-DE"/>
              </w:rPr>
              <w:t xml:space="preserve"> National, </w:t>
            </w:r>
            <w:r w:rsidRPr="00006CCF">
              <w:rPr>
                <w:rFonts w:eastAsia="Times New Roman" w:cs="Arial"/>
                <w:color w:val="000000"/>
                <w:sz w:val="20"/>
                <w:szCs w:val="20"/>
                <w:lang w:eastAsia="de-DE"/>
              </w:rPr>
              <w:t>Panama Maritime Authority</w:t>
            </w:r>
          </w:p>
        </w:tc>
      </w:tr>
      <w:tr w:rsidR="00D60288" w:rsidRPr="008B562B" w14:paraId="39A5E241"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2A866C6"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Law No. 3 of 14 January 1957</w:t>
            </w:r>
          </w:p>
        </w:tc>
        <w:tc>
          <w:tcPr>
            <w:tcW w:w="4260" w:type="dxa"/>
            <w:noWrap/>
          </w:tcPr>
          <w:p w14:paraId="417BBB1B"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 xml:space="preserve">Protection of natural resources is regulated. The main purpose of this law is to establish that the conservation, improvement, and reforestation of natural resources in Panama are of public interest and utility. </w:t>
            </w:r>
            <w:proofErr w:type="gramStart"/>
            <w:r w:rsidRPr="00102605">
              <w:rPr>
                <w:rFonts w:eastAsia="Times New Roman" w:cs="Arial"/>
                <w:color w:val="000000"/>
                <w:sz w:val="20"/>
                <w:szCs w:val="20"/>
                <w:lang w:eastAsia="de-DE"/>
              </w:rPr>
              <w:t>As a consequence</w:t>
            </w:r>
            <w:proofErr w:type="gramEnd"/>
            <w:r w:rsidRPr="00102605">
              <w:rPr>
                <w:rFonts w:eastAsia="Times New Roman" w:cs="Arial"/>
                <w:color w:val="000000"/>
                <w:sz w:val="20"/>
                <w:szCs w:val="20"/>
                <w:lang w:eastAsia="de-DE"/>
              </w:rPr>
              <w:t xml:space="preserve">, provisions in this law have </w:t>
            </w:r>
            <w:r>
              <w:rPr>
                <w:rFonts w:eastAsia="Times New Roman" w:cs="Arial"/>
                <w:color w:val="000000"/>
                <w:sz w:val="20"/>
                <w:szCs w:val="20"/>
                <w:lang w:eastAsia="de-DE"/>
              </w:rPr>
              <w:t>m</w:t>
            </w:r>
            <w:r w:rsidRPr="00102605">
              <w:rPr>
                <w:rFonts w:eastAsia="Times New Roman" w:cs="Arial"/>
                <w:color w:val="000000"/>
                <w:sz w:val="20"/>
                <w:szCs w:val="20"/>
                <w:lang w:eastAsia="de-DE"/>
              </w:rPr>
              <w:t>ainly the following objectives:</w:t>
            </w:r>
          </w:p>
          <w:p w14:paraId="42C5DA58"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to avoid soil erosion and facilitate the recovery of affected soil.</w:t>
            </w:r>
          </w:p>
          <w:p w14:paraId="3B562C26"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To maintain favourable conditions for watersheds; to conserve and establish touristic centres; and in general, to conserve and increase forests with useful species for the needs of the various industries applying its raw materials and products</w:t>
            </w:r>
          </w:p>
        </w:tc>
        <w:tc>
          <w:tcPr>
            <w:tcW w:w="2380" w:type="dxa"/>
            <w:noWrap/>
          </w:tcPr>
          <w:p w14:paraId="73E880E6" w14:textId="77777777" w:rsidR="00D60288" w:rsidRPr="005D5CF5" w:rsidRDefault="00D60288" w:rsidP="00E2502C">
            <w:pPr>
              <w:jc w:val="left"/>
              <w:cnfStyle w:val="000000000000" w:firstRow="0" w:lastRow="0" w:firstColumn="0" w:lastColumn="0" w:oddVBand="0" w:evenVBand="0" w:oddHBand="0" w:evenHBand="0" w:firstRowFirstColumn="0" w:firstRowLastColumn="0" w:lastRowFirstColumn="0" w:lastRowLastColumn="0"/>
              <w:rPr>
                <w:color w:val="000000"/>
                <w:sz w:val="20"/>
                <w:lang w:val="en-US"/>
              </w:rPr>
            </w:pPr>
            <w:r w:rsidRPr="008B562B">
              <w:rPr>
                <w:rFonts w:eastAsia="Times New Roman" w:cs="Arial"/>
                <w:color w:val="000000"/>
                <w:sz w:val="20"/>
                <w:szCs w:val="20"/>
                <w:lang w:val="en-US" w:eastAsia="de-DE"/>
              </w:rPr>
              <w:t xml:space="preserve">Agriculture, </w:t>
            </w:r>
            <w:proofErr w:type="gramStart"/>
            <w:r w:rsidRPr="008B562B">
              <w:rPr>
                <w:rFonts w:eastAsia="Times New Roman" w:cs="Arial"/>
                <w:color w:val="000000"/>
                <w:sz w:val="20"/>
                <w:szCs w:val="20"/>
                <w:lang w:val="en-US" w:eastAsia="de-DE"/>
              </w:rPr>
              <w:t>Commerce</w:t>
            </w:r>
            <w:proofErr w:type="gramEnd"/>
            <w:r w:rsidRPr="008B562B">
              <w:rPr>
                <w:rFonts w:eastAsia="Times New Roman" w:cs="Arial"/>
                <w:color w:val="000000"/>
                <w:sz w:val="20"/>
                <w:szCs w:val="20"/>
                <w:lang w:val="en-US" w:eastAsia="de-DE"/>
              </w:rPr>
              <w:t xml:space="preserve"> and Industry Ministry </w:t>
            </w:r>
          </w:p>
        </w:tc>
      </w:tr>
      <w:tr w:rsidR="00D60288" w:rsidRPr="006B7ABA" w14:paraId="12712F2F"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BE5A444" w14:textId="77777777"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Executive Decree No. 127 of 18 December 2018</w:t>
            </w:r>
          </w:p>
        </w:tc>
        <w:tc>
          <w:tcPr>
            <w:tcW w:w="4260" w:type="dxa"/>
            <w:noWrap/>
          </w:tcPr>
          <w:p w14:paraId="23DB9793"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Establishes the National Policy on Wetlands. The objective of this Policy is to g</w:t>
            </w:r>
            <w:r w:rsidRPr="005A28D7">
              <w:rPr>
                <w:rFonts w:eastAsia="Times New Roman" w:cs="Arial"/>
                <w:color w:val="000000"/>
                <w:sz w:val="20"/>
                <w:szCs w:val="20"/>
                <w:lang w:eastAsia="de-DE"/>
              </w:rPr>
              <w:t>uarantee an integral and sustainable management of wetlands, applying measures for the restoration of these ecosystems, promoting their protection, planning, and research, and at the same time raising awareness among the population regarding their importance for the human well-being of present and future generations.</w:t>
            </w:r>
          </w:p>
        </w:tc>
        <w:tc>
          <w:tcPr>
            <w:tcW w:w="2380" w:type="dxa"/>
            <w:noWrap/>
          </w:tcPr>
          <w:p w14:paraId="3A52B832" w14:textId="77777777" w:rsidR="00D60288" w:rsidRPr="00A203AD"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6B7ABA">
              <w:rPr>
                <w:rFonts w:eastAsia="Times New Roman" w:cs="Arial"/>
                <w:color w:val="000000"/>
                <w:sz w:val="20"/>
                <w:szCs w:val="20"/>
                <w:lang w:val="en-US" w:eastAsia="de-DE"/>
              </w:rPr>
              <w:t>Ministry of Environment</w:t>
            </w:r>
          </w:p>
        </w:tc>
      </w:tr>
      <w:tr w:rsidR="00D60288" w:rsidRPr="009D5A17" w14:paraId="08C3A589"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B2BC976" w14:textId="77777777" w:rsidR="00D60288"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Executive Decree No. 34 of 4 April 2007</w:t>
            </w:r>
          </w:p>
        </w:tc>
        <w:tc>
          <w:tcPr>
            <w:tcW w:w="4260" w:type="dxa"/>
            <w:noWrap/>
          </w:tcPr>
          <w:p w14:paraId="79DC6DDC"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724263">
              <w:rPr>
                <w:rFonts w:eastAsia="Times New Roman" w:cs="Arial"/>
                <w:color w:val="000000"/>
                <w:sz w:val="20"/>
                <w:szCs w:val="20"/>
                <w:lang w:eastAsia="de-DE"/>
              </w:rPr>
              <w:t>This Decree approves the National Policy for comprehensive management of non-hazardous and hazardous waste</w:t>
            </w:r>
            <w:r>
              <w:rPr>
                <w:rFonts w:eastAsia="Times New Roman" w:cs="Arial"/>
                <w:color w:val="000000"/>
                <w:sz w:val="20"/>
                <w:szCs w:val="20"/>
                <w:lang w:eastAsia="de-DE"/>
              </w:rPr>
              <w:t xml:space="preserve">. </w:t>
            </w:r>
            <w:r w:rsidRPr="00E45998">
              <w:rPr>
                <w:rFonts w:eastAsia="Times New Roman" w:cs="Arial"/>
                <w:color w:val="000000"/>
                <w:sz w:val="20"/>
                <w:szCs w:val="20"/>
                <w:lang w:eastAsia="de-DE"/>
              </w:rPr>
              <w:t>The general objective of this Policy is to achieve comprehensive management of non-hazardous and hazardous waste in an environmentally sound and sustainable manner, to ensure the conservation of the environment in the national territory and eliminate negative effects on the environment and the health of the population. That is social and that is economically efficient and viable.</w:t>
            </w:r>
          </w:p>
        </w:tc>
        <w:tc>
          <w:tcPr>
            <w:tcW w:w="2380" w:type="dxa"/>
            <w:noWrap/>
          </w:tcPr>
          <w:p w14:paraId="186F8164" w14:textId="77777777" w:rsidR="00D60288" w:rsidRPr="006B7ABA"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F67DC4" w14:paraId="51B6C4A5"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54B221D4" w14:textId="77777777" w:rsidR="00D60288"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Executive Decree No. 480 of 23 April 2013</w:t>
            </w:r>
          </w:p>
        </w:tc>
        <w:tc>
          <w:tcPr>
            <w:tcW w:w="4260" w:type="dxa"/>
            <w:noWrap/>
          </w:tcPr>
          <w:p w14:paraId="50C8B089" w14:textId="77777777" w:rsidR="00D60288" w:rsidRPr="0036263A"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E16F3">
              <w:rPr>
                <w:rFonts w:eastAsia="Times New Roman" w:cs="Arial"/>
                <w:color w:val="000000"/>
                <w:sz w:val="20"/>
                <w:szCs w:val="20"/>
                <w:lang w:eastAsia="de-DE"/>
              </w:rPr>
              <w:t>T</w:t>
            </w:r>
            <w:r>
              <w:rPr>
                <w:rFonts w:eastAsia="Times New Roman" w:cs="Arial"/>
                <w:color w:val="000000"/>
                <w:sz w:val="20"/>
                <w:szCs w:val="20"/>
                <w:lang w:eastAsia="de-DE"/>
              </w:rPr>
              <w:t xml:space="preserve">his Decree </w:t>
            </w:r>
            <w:r w:rsidRPr="00FE16F3">
              <w:rPr>
                <w:rFonts w:eastAsia="Times New Roman" w:cs="Arial"/>
                <w:color w:val="000000"/>
                <w:sz w:val="20"/>
                <w:szCs w:val="20"/>
                <w:lang w:eastAsia="de-DE"/>
              </w:rPr>
              <w:t xml:space="preserve">approves the national water resources policy, its principles, </w:t>
            </w:r>
            <w:proofErr w:type="gramStart"/>
            <w:r w:rsidRPr="00FE16F3">
              <w:rPr>
                <w:rFonts w:eastAsia="Times New Roman" w:cs="Arial"/>
                <w:color w:val="000000"/>
                <w:sz w:val="20"/>
                <w:szCs w:val="20"/>
                <w:lang w:eastAsia="de-DE"/>
              </w:rPr>
              <w:t>objectives</w:t>
            </w:r>
            <w:proofErr w:type="gramEnd"/>
            <w:r w:rsidRPr="00FE16F3">
              <w:rPr>
                <w:rFonts w:eastAsia="Times New Roman" w:cs="Arial"/>
                <w:color w:val="000000"/>
                <w:sz w:val="20"/>
                <w:szCs w:val="20"/>
                <w:lang w:eastAsia="de-DE"/>
              </w:rPr>
              <w:t xml:space="preserve"> and lines of action.</w:t>
            </w:r>
            <w:r>
              <w:rPr>
                <w:rFonts w:eastAsia="Times New Roman" w:cs="Arial"/>
                <w:color w:val="000000"/>
                <w:sz w:val="20"/>
                <w:szCs w:val="20"/>
                <w:lang w:eastAsia="de-DE"/>
              </w:rPr>
              <w:t xml:space="preserve"> The main objective of this policy is to </w:t>
            </w:r>
            <w:r w:rsidRPr="0036263A">
              <w:rPr>
                <w:rFonts w:eastAsia="Times New Roman" w:cs="Arial"/>
                <w:color w:val="000000"/>
                <w:sz w:val="20"/>
                <w:szCs w:val="20"/>
                <w:lang w:eastAsia="de-DE"/>
              </w:rPr>
              <w:t xml:space="preserve">guarantee current and future generations the necessary availability of water resources in quantity and quality parameters appropriate to their respective uses, through an integrated and effective management of the same that allows the provision of drinking water and sanitation facilities to the entire population. population, preservation of ecosystems, the adoption of integrated environmental and/or natural disaster risk management and water for productive activities in an economically viable, environmentally </w:t>
            </w:r>
            <w:proofErr w:type="gramStart"/>
            <w:r w:rsidRPr="0036263A">
              <w:rPr>
                <w:rFonts w:eastAsia="Times New Roman" w:cs="Arial"/>
                <w:color w:val="000000"/>
                <w:sz w:val="20"/>
                <w:szCs w:val="20"/>
                <w:lang w:eastAsia="de-DE"/>
              </w:rPr>
              <w:t>sustainable</w:t>
            </w:r>
            <w:proofErr w:type="gramEnd"/>
            <w:r w:rsidRPr="0036263A">
              <w:rPr>
                <w:rFonts w:eastAsia="Times New Roman" w:cs="Arial"/>
                <w:color w:val="000000"/>
                <w:sz w:val="20"/>
                <w:szCs w:val="20"/>
                <w:lang w:eastAsia="de-DE"/>
              </w:rPr>
              <w:t xml:space="preserve"> and socially equitable manner.</w:t>
            </w:r>
            <w:r w:rsidRPr="00A203AD">
              <w:rPr>
                <w:rFonts w:eastAsia="Times New Roman" w:cs="Arial"/>
                <w:color w:val="000000"/>
                <w:sz w:val="20"/>
                <w:szCs w:val="20"/>
                <w:lang w:val="en-US" w:eastAsia="de-DE"/>
              </w:rPr>
              <w:t xml:space="preserve"> </w:t>
            </w:r>
          </w:p>
        </w:tc>
        <w:tc>
          <w:tcPr>
            <w:tcW w:w="2380" w:type="dxa"/>
            <w:noWrap/>
          </w:tcPr>
          <w:p w14:paraId="3E294E89" w14:textId="77777777" w:rsidR="00D60288" w:rsidRPr="00F67DC4"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9D5A17" w14:paraId="3D353B22"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BA2D6D7" w14:textId="77777777" w:rsidR="00D60288" w:rsidRDefault="00D60288" w:rsidP="00E2502C">
            <w:pPr>
              <w:jc w:val="left"/>
              <w:rPr>
                <w:rFonts w:eastAsia="Times New Roman" w:cs="Arial"/>
                <w:color w:val="000000"/>
                <w:sz w:val="20"/>
                <w:szCs w:val="20"/>
                <w:lang w:eastAsia="de-DE"/>
              </w:rPr>
            </w:pPr>
            <w:r w:rsidRPr="00FB662D">
              <w:rPr>
                <w:rFonts w:eastAsia="Times New Roman" w:cs="Arial"/>
                <w:color w:val="000000"/>
                <w:sz w:val="20"/>
                <w:szCs w:val="20"/>
                <w:lang w:eastAsia="de-DE"/>
              </w:rPr>
              <w:t>Law No. 33 of 30 May 2018</w:t>
            </w:r>
          </w:p>
        </w:tc>
        <w:tc>
          <w:tcPr>
            <w:tcW w:w="4260" w:type="dxa"/>
            <w:noWrap/>
          </w:tcPr>
          <w:p w14:paraId="6118DB55" w14:textId="77777777" w:rsidR="00D60288" w:rsidRPr="00724263"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E</w:t>
            </w:r>
            <w:r w:rsidRPr="00283186">
              <w:rPr>
                <w:rFonts w:eastAsia="Times New Roman" w:cs="Arial"/>
                <w:color w:val="000000"/>
                <w:sz w:val="20"/>
                <w:szCs w:val="20"/>
                <w:lang w:eastAsia="de-DE"/>
              </w:rPr>
              <w:t>stablishes the Zero Waste policy and its action framework for comprehensive waste management</w:t>
            </w:r>
            <w:r>
              <w:rPr>
                <w:rFonts w:eastAsia="Times New Roman" w:cs="Arial"/>
                <w:color w:val="000000"/>
                <w:sz w:val="20"/>
                <w:szCs w:val="20"/>
                <w:lang w:eastAsia="de-DE"/>
              </w:rPr>
              <w:t xml:space="preserve">. </w:t>
            </w:r>
            <w:r w:rsidRPr="00C0037A">
              <w:rPr>
                <w:rFonts w:eastAsia="Times New Roman" w:cs="Arial"/>
                <w:color w:val="000000"/>
                <w:sz w:val="20"/>
                <w:szCs w:val="20"/>
                <w:lang w:eastAsia="de-DE"/>
              </w:rPr>
              <w:t xml:space="preserve">The main purpose of the policy is to get the most out of waste and natural resources from an economic, </w:t>
            </w:r>
            <w:proofErr w:type="gramStart"/>
            <w:r w:rsidRPr="00C0037A">
              <w:rPr>
                <w:rFonts w:eastAsia="Times New Roman" w:cs="Arial"/>
                <w:color w:val="000000"/>
                <w:sz w:val="20"/>
                <w:szCs w:val="20"/>
                <w:lang w:eastAsia="de-DE"/>
              </w:rPr>
              <w:t>environmental</w:t>
            </w:r>
            <w:proofErr w:type="gramEnd"/>
            <w:r w:rsidRPr="00C0037A">
              <w:rPr>
                <w:rFonts w:eastAsia="Times New Roman" w:cs="Arial"/>
                <w:color w:val="000000"/>
                <w:sz w:val="20"/>
                <w:szCs w:val="20"/>
                <w:lang w:eastAsia="de-DE"/>
              </w:rPr>
              <w:t xml:space="preserve"> and social standpoint, as well as to generate new sources of employment and reduce contamination and its effects on health and the environment.</w:t>
            </w:r>
          </w:p>
        </w:tc>
        <w:tc>
          <w:tcPr>
            <w:tcW w:w="2380" w:type="dxa"/>
            <w:noWrap/>
          </w:tcPr>
          <w:p w14:paraId="11A33502"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C559A8">
              <w:rPr>
                <w:rFonts w:eastAsia="Times New Roman" w:cs="Arial"/>
                <w:color w:val="000000"/>
                <w:sz w:val="20"/>
                <w:szCs w:val="20"/>
                <w:lang w:val="en-US" w:eastAsia="de-DE"/>
              </w:rPr>
              <w:t>Urban and Home Cleaning Authority</w:t>
            </w:r>
          </w:p>
        </w:tc>
      </w:tr>
      <w:tr w:rsidR="00D60288" w:rsidRPr="009D5A17" w14:paraId="0DA65157"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E2A640A" w14:textId="77777777" w:rsidR="00D60288"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Executive Decree No. 37 of 3 June 2009</w:t>
            </w:r>
          </w:p>
        </w:tc>
        <w:tc>
          <w:tcPr>
            <w:tcW w:w="4260" w:type="dxa"/>
            <w:noWrap/>
          </w:tcPr>
          <w:p w14:paraId="7B4CA18E" w14:textId="77777777" w:rsidR="00D60288" w:rsidRPr="00724263"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724263">
              <w:rPr>
                <w:rFonts w:eastAsia="Times New Roman" w:cs="Arial"/>
                <w:color w:val="000000"/>
                <w:sz w:val="20"/>
                <w:szCs w:val="20"/>
                <w:lang w:eastAsia="de-DE"/>
              </w:rPr>
              <w:t xml:space="preserve">This Decree approves the National </w:t>
            </w:r>
            <w:r>
              <w:rPr>
                <w:rFonts w:eastAsia="Times New Roman" w:cs="Arial"/>
                <w:color w:val="000000"/>
                <w:sz w:val="20"/>
                <w:szCs w:val="20"/>
                <w:lang w:eastAsia="de-DE"/>
              </w:rPr>
              <w:t xml:space="preserve">Forest </w:t>
            </w:r>
            <w:r w:rsidRPr="00724263">
              <w:rPr>
                <w:rFonts w:eastAsia="Times New Roman" w:cs="Arial"/>
                <w:color w:val="000000"/>
                <w:sz w:val="20"/>
                <w:szCs w:val="20"/>
                <w:lang w:eastAsia="de-DE"/>
              </w:rPr>
              <w:t>Policy</w:t>
            </w:r>
            <w:r>
              <w:rPr>
                <w:rFonts w:eastAsia="Times New Roman" w:cs="Arial"/>
                <w:color w:val="000000"/>
                <w:sz w:val="20"/>
                <w:szCs w:val="20"/>
                <w:lang w:eastAsia="de-DE"/>
              </w:rPr>
              <w:t>. The general objective of this Policy is e</w:t>
            </w:r>
            <w:r w:rsidRPr="003D697D">
              <w:rPr>
                <w:rFonts w:eastAsia="Times New Roman" w:cs="Arial"/>
                <w:color w:val="000000"/>
                <w:sz w:val="20"/>
                <w:szCs w:val="20"/>
                <w:lang w:eastAsia="de-DE"/>
              </w:rPr>
              <w:t>nsuring current and future generations</w:t>
            </w:r>
            <w:r>
              <w:rPr>
                <w:rFonts w:eastAsia="Times New Roman" w:cs="Arial"/>
                <w:color w:val="000000"/>
                <w:sz w:val="20"/>
                <w:szCs w:val="20"/>
                <w:lang w:eastAsia="de-DE"/>
              </w:rPr>
              <w:t xml:space="preserve"> </w:t>
            </w:r>
            <w:r w:rsidRPr="003D697D">
              <w:rPr>
                <w:rFonts w:eastAsia="Times New Roman" w:cs="Arial"/>
                <w:color w:val="000000"/>
                <w:sz w:val="20"/>
                <w:szCs w:val="20"/>
                <w:lang w:eastAsia="de-DE"/>
              </w:rPr>
              <w:t xml:space="preserve">  availability of forest resources, coming from</w:t>
            </w:r>
            <w:r>
              <w:rPr>
                <w:rFonts w:eastAsia="Times New Roman" w:cs="Arial"/>
                <w:color w:val="000000"/>
                <w:sz w:val="20"/>
                <w:szCs w:val="20"/>
                <w:lang w:eastAsia="de-DE"/>
              </w:rPr>
              <w:t xml:space="preserve"> </w:t>
            </w:r>
            <w:r w:rsidRPr="003D697D">
              <w:rPr>
                <w:rFonts w:eastAsia="Times New Roman" w:cs="Arial"/>
                <w:color w:val="000000"/>
                <w:sz w:val="20"/>
                <w:szCs w:val="20"/>
                <w:lang w:eastAsia="de-DE"/>
              </w:rPr>
              <w:t>plantations and natural forests, promoting the production, exploitation, conservation, and</w:t>
            </w:r>
            <w:r>
              <w:rPr>
                <w:rFonts w:eastAsia="Times New Roman" w:cs="Arial"/>
                <w:color w:val="000000"/>
                <w:sz w:val="20"/>
                <w:szCs w:val="20"/>
                <w:lang w:eastAsia="de-DE"/>
              </w:rPr>
              <w:t xml:space="preserve"> </w:t>
            </w:r>
            <w:r w:rsidRPr="003D697D">
              <w:rPr>
                <w:rFonts w:eastAsia="Times New Roman" w:cs="Arial"/>
                <w:color w:val="000000"/>
                <w:sz w:val="20"/>
                <w:szCs w:val="20"/>
                <w:lang w:eastAsia="de-DE"/>
              </w:rPr>
              <w:t>increase of forest ecosystems, which contribute to the generation of goods and services, for the benefit of the</w:t>
            </w:r>
            <w:r>
              <w:rPr>
                <w:rFonts w:eastAsia="Times New Roman" w:cs="Arial"/>
                <w:color w:val="000000"/>
                <w:sz w:val="20"/>
                <w:szCs w:val="20"/>
                <w:lang w:eastAsia="de-DE"/>
              </w:rPr>
              <w:t xml:space="preserve"> </w:t>
            </w:r>
            <w:r w:rsidRPr="003D697D">
              <w:rPr>
                <w:rFonts w:eastAsia="Times New Roman" w:cs="Arial"/>
                <w:color w:val="000000"/>
                <w:sz w:val="20"/>
                <w:szCs w:val="20"/>
                <w:lang w:eastAsia="de-DE"/>
              </w:rPr>
              <w:t xml:space="preserve">population in the social, </w:t>
            </w:r>
            <w:proofErr w:type="gramStart"/>
            <w:r w:rsidRPr="003D697D">
              <w:rPr>
                <w:rFonts w:eastAsia="Times New Roman" w:cs="Arial"/>
                <w:color w:val="000000"/>
                <w:sz w:val="20"/>
                <w:szCs w:val="20"/>
                <w:lang w:eastAsia="de-DE"/>
              </w:rPr>
              <w:t>economic</w:t>
            </w:r>
            <w:proofErr w:type="gramEnd"/>
            <w:r w:rsidRPr="003D697D">
              <w:rPr>
                <w:rFonts w:eastAsia="Times New Roman" w:cs="Arial"/>
                <w:color w:val="000000"/>
                <w:sz w:val="20"/>
                <w:szCs w:val="20"/>
                <w:lang w:eastAsia="de-DE"/>
              </w:rPr>
              <w:t xml:space="preserve"> and environmental spheres.</w:t>
            </w:r>
          </w:p>
        </w:tc>
        <w:tc>
          <w:tcPr>
            <w:tcW w:w="2380" w:type="dxa"/>
            <w:noWrap/>
          </w:tcPr>
          <w:p w14:paraId="45DEC131" w14:textId="77777777" w:rsidR="00D60288" w:rsidRPr="00A203AD"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val="en-US" w:eastAsia="de-DE"/>
              </w:rPr>
              <w:t>Ministry of Environment</w:t>
            </w:r>
          </w:p>
        </w:tc>
      </w:tr>
      <w:tr w:rsidR="00D60288" w:rsidRPr="009D5A17" w14:paraId="23DCC7E0"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08B3698" w14:textId="77777777" w:rsidR="00D60288"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 xml:space="preserve">Executive Decree No. </w:t>
            </w:r>
            <w:r>
              <w:rPr>
                <w:rFonts w:eastAsia="Times New Roman" w:cs="Arial"/>
                <w:color w:val="000000"/>
                <w:sz w:val="20"/>
                <w:szCs w:val="20"/>
                <w:lang w:eastAsia="de-DE"/>
              </w:rPr>
              <w:t>35</w:t>
            </w:r>
            <w:r w:rsidRPr="00102605">
              <w:rPr>
                <w:rFonts w:eastAsia="Times New Roman" w:cs="Arial"/>
                <w:color w:val="000000"/>
                <w:sz w:val="20"/>
                <w:szCs w:val="20"/>
                <w:lang w:eastAsia="de-DE"/>
              </w:rPr>
              <w:t xml:space="preserve"> of </w:t>
            </w:r>
            <w:r>
              <w:rPr>
                <w:rFonts w:eastAsia="Times New Roman" w:cs="Arial"/>
                <w:color w:val="000000"/>
                <w:sz w:val="20"/>
                <w:szCs w:val="20"/>
                <w:lang w:eastAsia="de-DE"/>
              </w:rPr>
              <w:t>26</w:t>
            </w:r>
            <w:r w:rsidRPr="00102605">
              <w:rPr>
                <w:rFonts w:eastAsia="Times New Roman" w:cs="Arial"/>
                <w:color w:val="000000"/>
                <w:sz w:val="20"/>
                <w:szCs w:val="20"/>
                <w:lang w:eastAsia="de-DE"/>
              </w:rPr>
              <w:t xml:space="preserve"> </w:t>
            </w:r>
            <w:r>
              <w:rPr>
                <w:rFonts w:eastAsia="Times New Roman" w:cs="Arial"/>
                <w:color w:val="000000"/>
                <w:sz w:val="20"/>
                <w:szCs w:val="20"/>
                <w:lang w:eastAsia="de-DE"/>
              </w:rPr>
              <w:t>February</w:t>
            </w:r>
            <w:r w:rsidRPr="00102605">
              <w:rPr>
                <w:rFonts w:eastAsia="Times New Roman" w:cs="Arial"/>
                <w:color w:val="000000"/>
                <w:sz w:val="20"/>
                <w:szCs w:val="20"/>
                <w:lang w:eastAsia="de-DE"/>
              </w:rPr>
              <w:t xml:space="preserve"> 200</w:t>
            </w:r>
            <w:r>
              <w:rPr>
                <w:rFonts w:eastAsia="Times New Roman" w:cs="Arial"/>
                <w:color w:val="000000"/>
                <w:sz w:val="20"/>
                <w:szCs w:val="20"/>
                <w:lang w:eastAsia="de-DE"/>
              </w:rPr>
              <w:t>7</w:t>
            </w:r>
          </w:p>
        </w:tc>
        <w:tc>
          <w:tcPr>
            <w:tcW w:w="4260" w:type="dxa"/>
            <w:noWrap/>
          </w:tcPr>
          <w:p w14:paraId="37BA43B4" w14:textId="77777777" w:rsidR="00D60288" w:rsidRPr="00724263"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724263">
              <w:rPr>
                <w:rFonts w:eastAsia="Times New Roman" w:cs="Arial"/>
                <w:color w:val="000000"/>
                <w:sz w:val="20"/>
                <w:szCs w:val="20"/>
                <w:lang w:eastAsia="de-DE"/>
              </w:rPr>
              <w:t xml:space="preserve">This Decree approves the </w:t>
            </w:r>
            <w:r>
              <w:rPr>
                <w:rFonts w:eastAsia="Times New Roman" w:cs="Arial"/>
                <w:color w:val="000000"/>
                <w:sz w:val="20"/>
                <w:szCs w:val="20"/>
                <w:lang w:eastAsia="de-DE"/>
              </w:rPr>
              <w:t xml:space="preserve">National Climate Change </w:t>
            </w:r>
            <w:r w:rsidRPr="00724263">
              <w:rPr>
                <w:rFonts w:eastAsia="Times New Roman" w:cs="Arial"/>
                <w:color w:val="000000"/>
                <w:sz w:val="20"/>
                <w:szCs w:val="20"/>
                <w:lang w:eastAsia="de-DE"/>
              </w:rPr>
              <w:t>Policy</w:t>
            </w:r>
            <w:r>
              <w:rPr>
                <w:rFonts w:eastAsia="Times New Roman" w:cs="Arial"/>
                <w:color w:val="000000"/>
                <w:sz w:val="20"/>
                <w:szCs w:val="20"/>
                <w:lang w:eastAsia="de-DE"/>
              </w:rPr>
              <w:t>. The general objective of this Policy is to p</w:t>
            </w:r>
            <w:r w:rsidRPr="000B54A9">
              <w:rPr>
                <w:rFonts w:eastAsia="Times New Roman" w:cs="Arial"/>
                <w:color w:val="000000"/>
                <w:sz w:val="20"/>
                <w:szCs w:val="20"/>
                <w:lang w:eastAsia="de-DE"/>
              </w:rPr>
              <w:t>roperly manage the issue of climate change at the national level and the effects that it may generate on the population and the territory, in accordance with the provisions included in the United Nations Framework Convention on Climate Change, the Protocol of Kyoto</w:t>
            </w:r>
            <w:r>
              <w:rPr>
                <w:rFonts w:eastAsia="Times New Roman" w:cs="Arial"/>
                <w:color w:val="000000"/>
                <w:sz w:val="20"/>
                <w:szCs w:val="20"/>
                <w:lang w:eastAsia="de-DE"/>
              </w:rPr>
              <w:t xml:space="preserve"> </w:t>
            </w:r>
            <w:r w:rsidRPr="00F33C1C">
              <w:rPr>
                <w:rFonts w:eastAsia="Times New Roman" w:cs="Arial"/>
                <w:color w:val="000000"/>
                <w:sz w:val="20"/>
                <w:szCs w:val="20"/>
                <w:lang w:eastAsia="de-DE"/>
              </w:rPr>
              <w:t>and subsequent agreements</w:t>
            </w:r>
            <w:r w:rsidRPr="000B54A9">
              <w:rPr>
                <w:rFonts w:eastAsia="Times New Roman" w:cs="Arial"/>
                <w:color w:val="000000"/>
                <w:sz w:val="20"/>
                <w:szCs w:val="20"/>
                <w:lang w:eastAsia="de-DE"/>
              </w:rPr>
              <w:t>, the Political Constitution of the Republic of Panama and the General Environmental Law.</w:t>
            </w:r>
          </w:p>
        </w:tc>
        <w:tc>
          <w:tcPr>
            <w:tcW w:w="2380" w:type="dxa"/>
            <w:noWrap/>
          </w:tcPr>
          <w:p w14:paraId="7FC42C19" w14:textId="77777777" w:rsidR="00D60288" w:rsidRPr="00A203AD"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val="en-US" w:eastAsia="de-DE"/>
              </w:rPr>
              <w:t>Ministry of Environment</w:t>
            </w:r>
          </w:p>
        </w:tc>
      </w:tr>
      <w:tr w:rsidR="00D60288" w:rsidRPr="009D5A17" w14:paraId="795D3A90"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7EC9B8A"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 xml:space="preserve">Executive Decree No. </w:t>
            </w:r>
            <w:r>
              <w:rPr>
                <w:rFonts w:eastAsia="Times New Roman" w:cs="Arial"/>
                <w:color w:val="000000"/>
                <w:sz w:val="20"/>
                <w:szCs w:val="20"/>
                <w:lang w:eastAsia="de-DE"/>
              </w:rPr>
              <w:t>122</w:t>
            </w:r>
            <w:r w:rsidRPr="00102605">
              <w:rPr>
                <w:rFonts w:eastAsia="Times New Roman" w:cs="Arial"/>
                <w:color w:val="000000"/>
                <w:sz w:val="20"/>
                <w:szCs w:val="20"/>
                <w:lang w:eastAsia="de-DE"/>
              </w:rPr>
              <w:t xml:space="preserve"> of </w:t>
            </w:r>
            <w:r>
              <w:rPr>
                <w:rFonts w:eastAsia="Times New Roman" w:cs="Arial"/>
                <w:color w:val="000000"/>
                <w:sz w:val="20"/>
                <w:szCs w:val="20"/>
                <w:lang w:eastAsia="de-DE"/>
              </w:rPr>
              <w:t>23 December 2008</w:t>
            </w:r>
          </w:p>
        </w:tc>
        <w:tc>
          <w:tcPr>
            <w:tcW w:w="4260" w:type="dxa"/>
            <w:noWrap/>
          </w:tcPr>
          <w:p w14:paraId="7B17DBB0" w14:textId="77777777" w:rsidR="00D60288" w:rsidRPr="00724263"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T</w:t>
            </w:r>
            <w:r w:rsidRPr="00724263">
              <w:rPr>
                <w:rFonts w:eastAsia="Times New Roman" w:cs="Arial"/>
                <w:color w:val="000000"/>
                <w:sz w:val="20"/>
                <w:szCs w:val="20"/>
                <w:lang w:eastAsia="de-DE"/>
              </w:rPr>
              <w:t xml:space="preserve">his Decree approves the </w:t>
            </w:r>
            <w:r w:rsidRPr="002C50B3">
              <w:rPr>
                <w:rFonts w:eastAsia="Times New Roman" w:cs="Arial"/>
                <w:color w:val="000000"/>
                <w:sz w:val="20"/>
                <w:szCs w:val="20"/>
                <w:lang w:eastAsia="de-DE"/>
              </w:rPr>
              <w:t>National Biodiversity Policy</w:t>
            </w:r>
            <w:r>
              <w:rPr>
                <w:rFonts w:eastAsia="Times New Roman" w:cs="Arial"/>
                <w:color w:val="000000"/>
                <w:sz w:val="20"/>
                <w:szCs w:val="20"/>
                <w:lang w:eastAsia="de-DE"/>
              </w:rPr>
              <w:t>. The general objective of this Policy is to i</w:t>
            </w:r>
            <w:r w:rsidRPr="007A3373">
              <w:rPr>
                <w:rFonts w:eastAsia="Times New Roman" w:cs="Arial"/>
                <w:color w:val="000000"/>
                <w:sz w:val="20"/>
                <w:szCs w:val="20"/>
                <w:lang w:eastAsia="de-DE"/>
              </w:rPr>
              <w:t>mplement the National Biodiversity Policy as the core of a national strategy to articulate the sustainability of biological diversity with the processes of economic and social development, improving the country</w:t>
            </w:r>
            <w:r>
              <w:rPr>
                <w:rFonts w:eastAsia="Times New Roman" w:cs="Arial"/>
                <w:color w:val="000000"/>
                <w:sz w:val="20"/>
                <w:szCs w:val="20"/>
                <w:lang w:eastAsia="de-DE"/>
              </w:rPr>
              <w:t>’</w:t>
            </w:r>
            <w:r w:rsidRPr="007A3373">
              <w:rPr>
                <w:rFonts w:eastAsia="Times New Roman" w:cs="Arial"/>
                <w:color w:val="000000"/>
                <w:sz w:val="20"/>
                <w:szCs w:val="20"/>
                <w:lang w:eastAsia="de-DE"/>
              </w:rPr>
              <w:t>s competitiveness, quality of life, poverty eradication, subsistence, integration of peoples, and sustainable development.</w:t>
            </w:r>
          </w:p>
        </w:tc>
        <w:tc>
          <w:tcPr>
            <w:tcW w:w="2380" w:type="dxa"/>
            <w:noWrap/>
          </w:tcPr>
          <w:p w14:paraId="5D53F7FB"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9D5A17" w14:paraId="7BEA77CF"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89C931D"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Executive Decree No.</w:t>
            </w:r>
            <w:r>
              <w:rPr>
                <w:rFonts w:eastAsia="Times New Roman" w:cs="Arial"/>
                <w:color w:val="000000"/>
                <w:sz w:val="20"/>
                <w:szCs w:val="20"/>
                <w:lang w:eastAsia="de-DE"/>
              </w:rPr>
              <w:t xml:space="preserve"> 33</w:t>
            </w:r>
            <w:r w:rsidRPr="00102605">
              <w:rPr>
                <w:rFonts w:eastAsia="Times New Roman" w:cs="Arial"/>
                <w:color w:val="000000"/>
                <w:sz w:val="20"/>
                <w:szCs w:val="20"/>
                <w:lang w:eastAsia="de-DE"/>
              </w:rPr>
              <w:t xml:space="preserve"> of </w:t>
            </w:r>
            <w:r>
              <w:rPr>
                <w:rFonts w:eastAsia="Times New Roman" w:cs="Arial"/>
                <w:color w:val="000000"/>
                <w:sz w:val="20"/>
                <w:szCs w:val="20"/>
                <w:lang w:eastAsia="de-DE"/>
              </w:rPr>
              <w:t>26 February 2007</w:t>
            </w:r>
          </w:p>
        </w:tc>
        <w:tc>
          <w:tcPr>
            <w:tcW w:w="4260" w:type="dxa"/>
            <w:noWrap/>
          </w:tcPr>
          <w:p w14:paraId="79C4691E"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T</w:t>
            </w:r>
            <w:r w:rsidRPr="00724263">
              <w:rPr>
                <w:rFonts w:eastAsia="Times New Roman" w:cs="Arial"/>
                <w:color w:val="000000"/>
                <w:sz w:val="20"/>
                <w:szCs w:val="20"/>
                <w:lang w:eastAsia="de-DE"/>
              </w:rPr>
              <w:t xml:space="preserve">his Decree approves the </w:t>
            </w:r>
            <w:r w:rsidRPr="0028445B">
              <w:rPr>
                <w:rFonts w:eastAsia="Times New Roman" w:cs="Arial"/>
                <w:color w:val="000000"/>
                <w:sz w:val="20"/>
                <w:szCs w:val="20"/>
                <w:lang w:eastAsia="de-DE"/>
              </w:rPr>
              <w:t xml:space="preserve">National </w:t>
            </w:r>
            <w:r>
              <w:rPr>
                <w:rFonts w:eastAsia="Times New Roman" w:cs="Arial"/>
                <w:color w:val="000000"/>
                <w:sz w:val="20"/>
                <w:szCs w:val="20"/>
                <w:lang w:eastAsia="de-DE"/>
              </w:rPr>
              <w:t>P</w:t>
            </w:r>
            <w:r w:rsidRPr="0028445B">
              <w:rPr>
                <w:rFonts w:eastAsia="Times New Roman" w:cs="Arial"/>
                <w:color w:val="000000"/>
                <w:sz w:val="20"/>
                <w:szCs w:val="20"/>
                <w:lang w:eastAsia="de-DE"/>
              </w:rPr>
              <w:t xml:space="preserve">olicy of </w:t>
            </w:r>
            <w:r>
              <w:rPr>
                <w:rFonts w:eastAsia="Times New Roman" w:cs="Arial"/>
                <w:color w:val="000000"/>
                <w:sz w:val="20"/>
                <w:szCs w:val="20"/>
                <w:lang w:eastAsia="de-DE"/>
              </w:rPr>
              <w:t>S</w:t>
            </w:r>
            <w:r w:rsidRPr="0028445B">
              <w:rPr>
                <w:rFonts w:eastAsia="Times New Roman" w:cs="Arial"/>
                <w:color w:val="000000"/>
                <w:sz w:val="20"/>
                <w:szCs w:val="20"/>
                <w:lang w:eastAsia="de-DE"/>
              </w:rPr>
              <w:t xml:space="preserve">upervision, </w:t>
            </w:r>
            <w:r>
              <w:rPr>
                <w:rFonts w:eastAsia="Times New Roman" w:cs="Arial"/>
                <w:color w:val="000000"/>
                <w:sz w:val="20"/>
                <w:szCs w:val="20"/>
                <w:lang w:eastAsia="de-DE"/>
              </w:rPr>
              <w:t>C</w:t>
            </w:r>
            <w:r w:rsidRPr="0028445B">
              <w:rPr>
                <w:rFonts w:eastAsia="Times New Roman" w:cs="Arial"/>
                <w:color w:val="000000"/>
                <w:sz w:val="20"/>
                <w:szCs w:val="20"/>
                <w:lang w:eastAsia="de-DE"/>
              </w:rPr>
              <w:t xml:space="preserve">ontrol and </w:t>
            </w:r>
            <w:r>
              <w:rPr>
                <w:rFonts w:eastAsia="Times New Roman" w:cs="Arial"/>
                <w:color w:val="000000"/>
                <w:sz w:val="20"/>
                <w:szCs w:val="20"/>
                <w:lang w:eastAsia="de-DE"/>
              </w:rPr>
              <w:t>E</w:t>
            </w:r>
            <w:r w:rsidRPr="0028445B">
              <w:rPr>
                <w:rFonts w:eastAsia="Times New Roman" w:cs="Arial"/>
                <w:color w:val="000000"/>
                <w:sz w:val="20"/>
                <w:szCs w:val="20"/>
                <w:lang w:eastAsia="de-DE"/>
              </w:rPr>
              <w:t xml:space="preserve">nvironmental </w:t>
            </w:r>
            <w:r>
              <w:rPr>
                <w:rFonts w:eastAsia="Times New Roman" w:cs="Arial"/>
                <w:color w:val="000000"/>
                <w:sz w:val="20"/>
                <w:szCs w:val="20"/>
                <w:lang w:eastAsia="de-DE"/>
              </w:rPr>
              <w:t>E</w:t>
            </w:r>
            <w:r w:rsidRPr="0028445B">
              <w:rPr>
                <w:rFonts w:eastAsia="Times New Roman" w:cs="Arial"/>
                <w:color w:val="000000"/>
                <w:sz w:val="20"/>
                <w:szCs w:val="20"/>
                <w:lang w:eastAsia="de-DE"/>
              </w:rPr>
              <w:t>nforcement</w:t>
            </w:r>
            <w:r>
              <w:rPr>
                <w:rFonts w:eastAsia="Times New Roman" w:cs="Arial"/>
                <w:color w:val="000000"/>
                <w:sz w:val="20"/>
                <w:szCs w:val="20"/>
                <w:lang w:eastAsia="de-DE"/>
              </w:rPr>
              <w:t>. The general objective of this Policy is to d</w:t>
            </w:r>
            <w:r w:rsidRPr="00EF0D9B">
              <w:rPr>
                <w:rFonts w:eastAsia="Times New Roman" w:cs="Arial"/>
                <w:color w:val="000000"/>
                <w:sz w:val="20"/>
                <w:szCs w:val="20"/>
                <w:lang w:eastAsia="de-DE"/>
              </w:rPr>
              <w:t xml:space="preserve">eploy a coherent set of supervision, </w:t>
            </w:r>
            <w:proofErr w:type="gramStart"/>
            <w:r w:rsidRPr="00EF0D9B">
              <w:rPr>
                <w:rFonts w:eastAsia="Times New Roman" w:cs="Arial"/>
                <w:color w:val="000000"/>
                <w:sz w:val="20"/>
                <w:szCs w:val="20"/>
                <w:lang w:eastAsia="de-DE"/>
              </w:rPr>
              <w:t>inspection</w:t>
            </w:r>
            <w:proofErr w:type="gramEnd"/>
            <w:r w:rsidRPr="00EF0D9B">
              <w:rPr>
                <w:rFonts w:eastAsia="Times New Roman" w:cs="Arial"/>
                <w:color w:val="000000"/>
                <w:sz w:val="20"/>
                <w:szCs w:val="20"/>
                <w:lang w:eastAsia="de-DE"/>
              </w:rPr>
              <w:t xml:space="preserve"> and control actions, with a view to ensuring compliance</w:t>
            </w:r>
            <w:r>
              <w:rPr>
                <w:rFonts w:eastAsia="Times New Roman" w:cs="Arial"/>
                <w:color w:val="000000"/>
                <w:sz w:val="20"/>
                <w:szCs w:val="20"/>
                <w:lang w:eastAsia="de-DE"/>
              </w:rPr>
              <w:t xml:space="preserve"> </w:t>
            </w:r>
            <w:r w:rsidRPr="00EF0D9B">
              <w:rPr>
                <w:rFonts w:eastAsia="Times New Roman" w:cs="Arial"/>
                <w:color w:val="000000"/>
                <w:sz w:val="20"/>
                <w:szCs w:val="20"/>
                <w:lang w:eastAsia="de-DE"/>
              </w:rPr>
              <w:t xml:space="preserve">the purposes </w:t>
            </w:r>
            <w:r>
              <w:rPr>
                <w:rFonts w:eastAsia="Times New Roman" w:cs="Arial"/>
                <w:color w:val="000000"/>
                <w:sz w:val="20"/>
                <w:szCs w:val="20"/>
                <w:lang w:eastAsia="de-DE"/>
              </w:rPr>
              <w:t>of conserv</w:t>
            </w:r>
            <w:r w:rsidRPr="00EF0D9B">
              <w:rPr>
                <w:rFonts w:eastAsia="Times New Roman" w:cs="Arial"/>
                <w:color w:val="000000"/>
                <w:sz w:val="20"/>
                <w:szCs w:val="20"/>
                <w:lang w:eastAsia="de-DE"/>
              </w:rPr>
              <w:t>ation, protection and environmental preservation provided for in current regulations, as an expression of the State</w:t>
            </w:r>
            <w:r>
              <w:rPr>
                <w:rFonts w:eastAsia="Times New Roman" w:cs="Arial"/>
                <w:color w:val="000000"/>
                <w:sz w:val="20"/>
                <w:szCs w:val="20"/>
                <w:lang w:eastAsia="de-DE"/>
              </w:rPr>
              <w:t>’</w:t>
            </w:r>
            <w:r w:rsidRPr="00EF0D9B">
              <w:rPr>
                <w:rFonts w:eastAsia="Times New Roman" w:cs="Arial"/>
                <w:color w:val="000000"/>
                <w:sz w:val="20"/>
                <w:szCs w:val="20"/>
                <w:lang w:eastAsia="de-DE"/>
              </w:rPr>
              <w:t>s environmental policies aimed at economic and social development, incorporating criteria of environmental sustainability.</w:t>
            </w:r>
          </w:p>
        </w:tc>
        <w:tc>
          <w:tcPr>
            <w:tcW w:w="2380" w:type="dxa"/>
            <w:noWrap/>
          </w:tcPr>
          <w:p w14:paraId="7F019CD4"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9D5A17" w14:paraId="5A27E7DA"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D0337B5" w14:textId="77777777" w:rsidR="00D60288" w:rsidRPr="00102605" w:rsidRDefault="00D60288" w:rsidP="00E2502C">
            <w:pPr>
              <w:jc w:val="left"/>
              <w:rPr>
                <w:rFonts w:eastAsia="Times New Roman" w:cs="Arial"/>
                <w:color w:val="000000"/>
                <w:sz w:val="20"/>
                <w:szCs w:val="20"/>
                <w:lang w:eastAsia="de-DE"/>
              </w:rPr>
            </w:pPr>
            <w:r w:rsidRPr="00310931">
              <w:rPr>
                <w:rFonts w:eastAsia="Times New Roman" w:cs="Arial"/>
                <w:color w:val="000000"/>
                <w:sz w:val="20"/>
                <w:szCs w:val="20"/>
                <w:lang w:eastAsia="de-DE"/>
              </w:rPr>
              <w:t>Executive Decree No. 5 of 4 February 2009,</w:t>
            </w:r>
          </w:p>
        </w:tc>
        <w:tc>
          <w:tcPr>
            <w:tcW w:w="4260" w:type="dxa"/>
            <w:noWrap/>
          </w:tcPr>
          <w:p w14:paraId="2F7D102B"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E</w:t>
            </w:r>
            <w:r w:rsidRPr="00DB4A66">
              <w:rPr>
                <w:rFonts w:eastAsia="Times New Roman" w:cs="Arial"/>
                <w:color w:val="000000"/>
                <w:sz w:val="20"/>
                <w:szCs w:val="20"/>
                <w:lang w:eastAsia="de-DE"/>
              </w:rPr>
              <w:t>stablishes the maximum permissible limits for emissions to the air produced by fixed sources with the objective of protecting the population</w:t>
            </w:r>
            <w:r>
              <w:rPr>
                <w:rFonts w:eastAsia="Times New Roman" w:cs="Arial"/>
                <w:color w:val="000000"/>
                <w:sz w:val="20"/>
                <w:szCs w:val="20"/>
                <w:lang w:eastAsia="de-DE"/>
              </w:rPr>
              <w:t>’</w:t>
            </w:r>
            <w:r w:rsidRPr="00DB4A66">
              <w:rPr>
                <w:rFonts w:eastAsia="Times New Roman" w:cs="Arial"/>
                <w:color w:val="000000"/>
                <w:sz w:val="20"/>
                <w:szCs w:val="20"/>
                <w:lang w:eastAsia="de-DE"/>
              </w:rPr>
              <w:t>s health, natural resources, and the environment</w:t>
            </w:r>
            <w:r>
              <w:rPr>
                <w:rFonts w:eastAsia="Times New Roman" w:cs="Arial"/>
                <w:color w:val="000000"/>
                <w:sz w:val="20"/>
                <w:szCs w:val="20"/>
                <w:lang w:eastAsia="de-DE"/>
              </w:rPr>
              <w:t>’</w:t>
            </w:r>
            <w:r w:rsidRPr="00DB4A66">
              <w:rPr>
                <w:rFonts w:eastAsia="Times New Roman" w:cs="Arial"/>
                <w:color w:val="000000"/>
                <w:sz w:val="20"/>
                <w:szCs w:val="20"/>
                <w:lang w:eastAsia="de-DE"/>
              </w:rPr>
              <w:t>s quality from atmospheric pollution.</w:t>
            </w:r>
          </w:p>
        </w:tc>
        <w:tc>
          <w:tcPr>
            <w:tcW w:w="2380" w:type="dxa"/>
            <w:noWrap/>
          </w:tcPr>
          <w:p w14:paraId="6BE20D5F"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9D5A17" w14:paraId="458D873E"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7F6773A" w14:textId="77777777" w:rsidR="00D60288" w:rsidRPr="00310931" w:rsidRDefault="00D60288" w:rsidP="00E2502C">
            <w:pPr>
              <w:jc w:val="left"/>
              <w:rPr>
                <w:rFonts w:eastAsia="Times New Roman" w:cs="Arial"/>
                <w:color w:val="000000"/>
                <w:sz w:val="20"/>
                <w:szCs w:val="20"/>
                <w:lang w:eastAsia="de-DE"/>
              </w:rPr>
            </w:pPr>
            <w:r w:rsidRPr="00B02D04">
              <w:rPr>
                <w:rFonts w:eastAsia="Times New Roman" w:cs="Arial"/>
                <w:color w:val="000000"/>
                <w:sz w:val="20"/>
                <w:szCs w:val="20"/>
                <w:lang w:eastAsia="de-DE"/>
              </w:rPr>
              <w:t>Law</w:t>
            </w:r>
            <w:r>
              <w:rPr>
                <w:rFonts w:eastAsia="Times New Roman" w:cs="Arial"/>
                <w:color w:val="000000"/>
                <w:sz w:val="20"/>
                <w:szCs w:val="20"/>
                <w:lang w:eastAsia="de-DE"/>
              </w:rPr>
              <w:t xml:space="preserve"> No.</w:t>
            </w:r>
            <w:r w:rsidRPr="00B02D04">
              <w:rPr>
                <w:rFonts w:eastAsia="Times New Roman" w:cs="Arial"/>
                <w:color w:val="000000"/>
                <w:sz w:val="20"/>
                <w:szCs w:val="20"/>
                <w:lang w:eastAsia="de-DE"/>
              </w:rPr>
              <w:t xml:space="preserve"> 36</w:t>
            </w:r>
            <w:r>
              <w:rPr>
                <w:rFonts w:eastAsia="Times New Roman" w:cs="Arial"/>
                <w:color w:val="000000"/>
                <w:sz w:val="20"/>
                <w:szCs w:val="20"/>
                <w:lang w:eastAsia="de-DE"/>
              </w:rPr>
              <w:t xml:space="preserve"> of 17 May 199</w:t>
            </w:r>
            <w:r w:rsidRPr="00B02D04">
              <w:rPr>
                <w:rFonts w:eastAsia="Times New Roman" w:cs="Arial"/>
                <w:color w:val="000000"/>
                <w:sz w:val="20"/>
                <w:szCs w:val="20"/>
                <w:lang w:eastAsia="de-DE"/>
              </w:rPr>
              <w:t xml:space="preserve">6 and its Regulatory Decree </w:t>
            </w:r>
            <w:r>
              <w:rPr>
                <w:rFonts w:eastAsia="Times New Roman" w:cs="Arial"/>
                <w:color w:val="000000"/>
                <w:sz w:val="20"/>
                <w:szCs w:val="20"/>
                <w:lang w:eastAsia="de-DE"/>
              </w:rPr>
              <w:t xml:space="preserve">No. </w:t>
            </w:r>
            <w:r w:rsidRPr="00B02D04">
              <w:rPr>
                <w:rFonts w:eastAsia="Times New Roman" w:cs="Arial"/>
                <w:color w:val="000000"/>
                <w:sz w:val="20"/>
                <w:szCs w:val="20"/>
                <w:lang w:eastAsia="de-DE"/>
              </w:rPr>
              <w:t>255</w:t>
            </w:r>
            <w:r>
              <w:rPr>
                <w:rFonts w:eastAsia="Times New Roman" w:cs="Arial"/>
                <w:color w:val="000000"/>
                <w:sz w:val="20"/>
                <w:szCs w:val="20"/>
                <w:lang w:eastAsia="de-DE"/>
              </w:rPr>
              <w:t xml:space="preserve"> of 18 December 19</w:t>
            </w:r>
            <w:r w:rsidRPr="00B02D04">
              <w:rPr>
                <w:rFonts w:eastAsia="Times New Roman" w:cs="Arial"/>
                <w:color w:val="000000"/>
                <w:sz w:val="20"/>
                <w:szCs w:val="20"/>
                <w:lang w:eastAsia="de-DE"/>
              </w:rPr>
              <w:t>98,</w:t>
            </w:r>
          </w:p>
        </w:tc>
        <w:tc>
          <w:tcPr>
            <w:tcW w:w="4260" w:type="dxa"/>
            <w:noWrap/>
          </w:tcPr>
          <w:p w14:paraId="5548CE86"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C</w:t>
            </w:r>
            <w:r w:rsidRPr="00B02D04">
              <w:rPr>
                <w:rFonts w:eastAsia="Times New Roman" w:cs="Arial"/>
                <w:color w:val="000000"/>
                <w:sz w:val="20"/>
                <w:szCs w:val="20"/>
                <w:lang w:eastAsia="de-DE"/>
              </w:rPr>
              <w:t>ontrols are established to avoid Environmental Pollution caused by Fuels and Lead. Said Regulation also establishes provisions for the control of motor vehicle emissions.</w:t>
            </w:r>
          </w:p>
        </w:tc>
        <w:tc>
          <w:tcPr>
            <w:tcW w:w="2380" w:type="dxa"/>
            <w:noWrap/>
          </w:tcPr>
          <w:p w14:paraId="6527DE71"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Health Ministry</w:t>
            </w:r>
          </w:p>
        </w:tc>
      </w:tr>
      <w:tr w:rsidR="00D60288" w:rsidRPr="009D5A17" w14:paraId="691AFDC3"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18A2878" w14:textId="77777777" w:rsidR="00D60288" w:rsidRPr="00B02D04" w:rsidRDefault="00D60288" w:rsidP="00E2502C">
            <w:pPr>
              <w:jc w:val="left"/>
              <w:rPr>
                <w:rFonts w:eastAsia="Times New Roman" w:cs="Arial"/>
                <w:color w:val="000000"/>
                <w:sz w:val="20"/>
                <w:szCs w:val="20"/>
                <w:lang w:eastAsia="de-DE"/>
              </w:rPr>
            </w:pPr>
            <w:r w:rsidRPr="003D5CF7">
              <w:rPr>
                <w:rFonts w:eastAsia="Times New Roman" w:cs="Arial"/>
                <w:color w:val="000000"/>
                <w:sz w:val="20"/>
                <w:szCs w:val="20"/>
                <w:lang w:eastAsia="de-DE"/>
              </w:rPr>
              <w:t>Executive Decree No. 2 of 14 January 2009</w:t>
            </w:r>
          </w:p>
        </w:tc>
        <w:tc>
          <w:tcPr>
            <w:tcW w:w="4260" w:type="dxa"/>
            <w:noWrap/>
          </w:tcPr>
          <w:p w14:paraId="0C3F605C"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E</w:t>
            </w:r>
            <w:r w:rsidRPr="00BF08B8">
              <w:rPr>
                <w:rFonts w:eastAsia="Times New Roman" w:cs="Arial"/>
                <w:color w:val="000000"/>
                <w:sz w:val="20"/>
                <w:szCs w:val="20"/>
                <w:lang w:eastAsia="de-DE"/>
              </w:rPr>
              <w:t>stablishes the Environmental Standard for Soil Quality for various uses</w:t>
            </w:r>
            <w:r>
              <w:rPr>
                <w:rFonts w:eastAsia="Times New Roman" w:cs="Arial"/>
                <w:color w:val="000000"/>
                <w:sz w:val="20"/>
                <w:szCs w:val="20"/>
                <w:lang w:eastAsia="de-DE"/>
              </w:rPr>
              <w:t xml:space="preserve"> </w:t>
            </w:r>
            <w:proofErr w:type="gramStart"/>
            <w:r w:rsidRPr="007A2E95">
              <w:rPr>
                <w:rFonts w:eastAsia="Times New Roman" w:cs="Arial"/>
                <w:color w:val="000000"/>
                <w:sz w:val="20"/>
                <w:szCs w:val="20"/>
                <w:lang w:eastAsia="de-DE"/>
              </w:rPr>
              <w:t>in order to</w:t>
            </w:r>
            <w:proofErr w:type="gramEnd"/>
            <w:r w:rsidRPr="007A2E95">
              <w:rPr>
                <w:rFonts w:eastAsia="Times New Roman" w:cs="Arial"/>
                <w:color w:val="000000"/>
                <w:sz w:val="20"/>
                <w:szCs w:val="20"/>
                <w:lang w:eastAsia="de-DE"/>
              </w:rPr>
              <w:t xml:space="preserve"> protect human health and ecosystems; define the generic reference levels and the maximum permissible limits of chemical contaminants in the soil; establish the methods to be used in chemical and microbiological analyses; among others</w:t>
            </w:r>
          </w:p>
        </w:tc>
        <w:tc>
          <w:tcPr>
            <w:tcW w:w="2380" w:type="dxa"/>
            <w:noWrap/>
          </w:tcPr>
          <w:p w14:paraId="766057F3"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Ministry of Environment</w:t>
            </w:r>
          </w:p>
        </w:tc>
      </w:tr>
      <w:tr w:rsidR="00D60288" w:rsidRPr="009D5A17" w14:paraId="18C19E30"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B85FEAD" w14:textId="77777777" w:rsidR="00D60288" w:rsidRPr="003D5CF7"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Law No. 66 of 10 November 1947.</w:t>
            </w:r>
          </w:p>
        </w:tc>
        <w:tc>
          <w:tcPr>
            <w:tcW w:w="4260" w:type="dxa"/>
            <w:noWrap/>
          </w:tcPr>
          <w:p w14:paraId="6E880EB5"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The Law approves the Sanitary Code, which through art. No. 205 </w:t>
            </w:r>
            <w:r w:rsidRPr="007573D6">
              <w:rPr>
                <w:rFonts w:eastAsia="Times New Roman" w:cs="Arial"/>
                <w:color w:val="000000"/>
                <w:sz w:val="20"/>
                <w:szCs w:val="20"/>
                <w:lang w:eastAsia="de-DE"/>
              </w:rPr>
              <w:t xml:space="preserve">Prohibits the direct or indirect discharge of wastewater, whether from sewers or factories or others, into rivers, lakes, </w:t>
            </w:r>
            <w:proofErr w:type="gramStart"/>
            <w:r w:rsidRPr="007573D6">
              <w:rPr>
                <w:rFonts w:eastAsia="Times New Roman" w:cs="Arial"/>
                <w:color w:val="000000"/>
                <w:sz w:val="20"/>
                <w:szCs w:val="20"/>
                <w:lang w:eastAsia="de-DE"/>
              </w:rPr>
              <w:t>ditches</w:t>
            </w:r>
            <w:proofErr w:type="gramEnd"/>
            <w:r w:rsidRPr="007573D6">
              <w:rPr>
                <w:rFonts w:eastAsia="Times New Roman" w:cs="Arial"/>
                <w:color w:val="000000"/>
                <w:sz w:val="20"/>
                <w:szCs w:val="20"/>
                <w:lang w:eastAsia="de-DE"/>
              </w:rPr>
              <w:t xml:space="preserve"> or any water course that serves or may serve as a supply for domestic, agricultural or industrial uses or for recreation and public spas, unless they are previously treated by methods that render them harmless, in the opinion of the Directorate of Public Health</w:t>
            </w:r>
          </w:p>
        </w:tc>
        <w:tc>
          <w:tcPr>
            <w:tcW w:w="2380" w:type="dxa"/>
            <w:noWrap/>
          </w:tcPr>
          <w:p w14:paraId="74A92A1D"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Health Ministry</w:t>
            </w:r>
          </w:p>
        </w:tc>
      </w:tr>
      <w:tr w:rsidR="00D60288" w:rsidRPr="00EA2B77" w14:paraId="5DF8B12C"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56DE5075" w14:textId="77777777" w:rsidR="00D60288" w:rsidRDefault="00D60288" w:rsidP="00E2502C">
            <w:pPr>
              <w:jc w:val="left"/>
              <w:rPr>
                <w:rFonts w:eastAsia="Times New Roman" w:cs="Arial"/>
                <w:color w:val="000000"/>
                <w:sz w:val="20"/>
                <w:szCs w:val="20"/>
                <w:lang w:eastAsia="de-DE"/>
              </w:rPr>
            </w:pPr>
            <w:r w:rsidRPr="00EA2B77">
              <w:rPr>
                <w:rFonts w:eastAsia="Times New Roman" w:cs="Arial"/>
                <w:color w:val="000000"/>
                <w:sz w:val="20"/>
                <w:szCs w:val="20"/>
                <w:lang w:eastAsia="de-DE"/>
              </w:rPr>
              <w:t>Executive Decree No. 252 of 30 December 1971</w:t>
            </w:r>
          </w:p>
        </w:tc>
        <w:tc>
          <w:tcPr>
            <w:tcW w:w="4260" w:type="dxa"/>
            <w:noWrap/>
          </w:tcPr>
          <w:p w14:paraId="29C17B1C"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Approves the Labour Code. </w:t>
            </w:r>
            <w:r w:rsidRPr="00533CE3">
              <w:rPr>
                <w:rFonts w:eastAsia="Times New Roman" w:cs="Arial"/>
                <w:color w:val="000000"/>
                <w:sz w:val="20"/>
                <w:szCs w:val="20"/>
                <w:lang w:eastAsia="de-DE"/>
              </w:rPr>
              <w:t xml:space="preserve">It regulates the relations between capital and labour, </w:t>
            </w:r>
            <w:proofErr w:type="gramStart"/>
            <w:r w:rsidRPr="00533CE3">
              <w:rPr>
                <w:rFonts w:eastAsia="Times New Roman" w:cs="Arial"/>
                <w:color w:val="000000"/>
                <w:sz w:val="20"/>
                <w:szCs w:val="20"/>
                <w:lang w:eastAsia="de-DE"/>
              </w:rPr>
              <w:t>on the basis of</w:t>
            </w:r>
            <w:proofErr w:type="gramEnd"/>
            <w:r w:rsidRPr="00533CE3">
              <w:rPr>
                <w:rFonts w:eastAsia="Times New Roman" w:cs="Arial"/>
                <w:color w:val="000000"/>
                <w:sz w:val="20"/>
                <w:szCs w:val="20"/>
                <w:lang w:eastAsia="de-DE"/>
              </w:rPr>
              <w:t xml:space="preserve"> social justice specified in the Political Constitution of the Republic, establishing state protection for the benefit of workers; The State will intervene to promote full employment, create the necessary conditions that ensure everyone</w:t>
            </w:r>
            <w:r>
              <w:rPr>
                <w:rFonts w:eastAsia="Times New Roman" w:cs="Arial"/>
                <w:color w:val="000000"/>
                <w:sz w:val="20"/>
                <w:szCs w:val="20"/>
                <w:lang w:eastAsia="de-DE"/>
              </w:rPr>
              <w:t xml:space="preserve"> </w:t>
            </w:r>
            <w:r w:rsidRPr="00533CE3">
              <w:rPr>
                <w:rFonts w:eastAsia="Times New Roman" w:cs="Arial"/>
                <w:color w:val="000000"/>
                <w:sz w:val="20"/>
                <w:szCs w:val="20"/>
                <w:lang w:eastAsia="de-DE"/>
              </w:rPr>
              <w:t>worker a decent existence and seek equitable compensation</w:t>
            </w:r>
            <w:r>
              <w:rPr>
                <w:rFonts w:eastAsia="Times New Roman" w:cs="Arial"/>
                <w:color w:val="000000"/>
                <w:sz w:val="20"/>
                <w:szCs w:val="20"/>
                <w:lang w:eastAsia="de-DE"/>
              </w:rPr>
              <w:t>. It also</w:t>
            </w:r>
            <w:r w:rsidRPr="00533CE3">
              <w:rPr>
                <w:rFonts w:eastAsia="Times New Roman" w:cs="Arial"/>
                <w:color w:val="000000"/>
                <w:sz w:val="20"/>
                <w:szCs w:val="20"/>
                <w:lang w:eastAsia="de-DE"/>
              </w:rPr>
              <w:t xml:space="preserve"> </w:t>
            </w:r>
            <w:r w:rsidRPr="008C62D1">
              <w:rPr>
                <w:rFonts w:eastAsia="Times New Roman" w:cs="Arial"/>
                <w:color w:val="000000"/>
                <w:sz w:val="20"/>
                <w:szCs w:val="20"/>
                <w:lang w:eastAsia="de-DE"/>
              </w:rPr>
              <w:t xml:space="preserve">incorporates provisions related to labour protection, working hours, breaks, internal work regulations and works council, professional risks, </w:t>
            </w:r>
            <w:proofErr w:type="gramStart"/>
            <w:r w:rsidRPr="008C62D1">
              <w:rPr>
                <w:rFonts w:eastAsia="Times New Roman" w:cs="Arial"/>
                <w:color w:val="000000"/>
                <w:sz w:val="20"/>
                <w:szCs w:val="20"/>
                <w:lang w:eastAsia="de-DE"/>
              </w:rPr>
              <w:t>hygiene</w:t>
            </w:r>
            <w:proofErr w:type="gramEnd"/>
            <w:r w:rsidRPr="008C62D1">
              <w:rPr>
                <w:rFonts w:eastAsia="Times New Roman" w:cs="Arial"/>
                <w:color w:val="000000"/>
                <w:sz w:val="20"/>
                <w:szCs w:val="20"/>
                <w:lang w:eastAsia="de-DE"/>
              </w:rPr>
              <w:t xml:space="preserve"> and safety at work</w:t>
            </w:r>
            <w:r>
              <w:rPr>
                <w:rFonts w:eastAsia="Times New Roman" w:cs="Arial"/>
                <w:color w:val="000000"/>
                <w:sz w:val="20"/>
                <w:szCs w:val="20"/>
                <w:lang w:eastAsia="de-DE"/>
              </w:rPr>
              <w:t xml:space="preserve">. </w:t>
            </w:r>
          </w:p>
        </w:tc>
        <w:tc>
          <w:tcPr>
            <w:tcW w:w="2380" w:type="dxa"/>
            <w:noWrap/>
          </w:tcPr>
          <w:p w14:paraId="7E9CBC82" w14:textId="77777777" w:rsidR="00D60288" w:rsidRPr="00EA2B77"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EA2B77">
              <w:rPr>
                <w:rFonts w:eastAsia="Times New Roman" w:cs="Arial"/>
                <w:color w:val="000000"/>
                <w:sz w:val="20"/>
                <w:szCs w:val="20"/>
                <w:lang w:val="en-US" w:eastAsia="de-DE"/>
              </w:rPr>
              <w:t>Ministry of Labor and Labor Development of the Republic of Panama</w:t>
            </w:r>
          </w:p>
        </w:tc>
      </w:tr>
      <w:tr w:rsidR="00D60288" w:rsidRPr="009D5A17" w14:paraId="3B6B2551"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8B1DF32" w14:textId="77777777" w:rsidR="00D60288" w:rsidRPr="00EA2B77" w:rsidRDefault="00D60288" w:rsidP="00E2502C">
            <w:pPr>
              <w:jc w:val="left"/>
              <w:rPr>
                <w:rFonts w:eastAsia="Times New Roman" w:cs="Arial"/>
                <w:color w:val="000000"/>
                <w:sz w:val="20"/>
                <w:szCs w:val="20"/>
                <w:lang w:eastAsia="de-DE"/>
              </w:rPr>
            </w:pPr>
            <w:r w:rsidRPr="00EA2B77">
              <w:rPr>
                <w:rFonts w:eastAsia="Times New Roman" w:cs="Arial"/>
                <w:color w:val="000000"/>
                <w:sz w:val="20"/>
                <w:szCs w:val="20"/>
                <w:lang w:eastAsia="de-DE"/>
              </w:rPr>
              <w:t>Resolution No.41.039</w:t>
            </w:r>
            <w:r>
              <w:rPr>
                <w:rFonts w:eastAsia="Times New Roman" w:cs="Arial"/>
                <w:color w:val="000000"/>
                <w:sz w:val="20"/>
                <w:szCs w:val="20"/>
                <w:lang w:eastAsia="de-DE"/>
              </w:rPr>
              <w:t>/09 of 26 January 2009</w:t>
            </w:r>
          </w:p>
        </w:tc>
        <w:tc>
          <w:tcPr>
            <w:tcW w:w="4260" w:type="dxa"/>
            <w:noWrap/>
          </w:tcPr>
          <w:p w14:paraId="4ACC3E74"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A</w:t>
            </w:r>
            <w:r w:rsidRPr="00B735EE">
              <w:rPr>
                <w:rFonts w:eastAsia="Times New Roman" w:cs="Arial"/>
                <w:color w:val="000000"/>
                <w:sz w:val="20"/>
                <w:szCs w:val="20"/>
                <w:lang w:eastAsia="de-DE"/>
              </w:rPr>
              <w:t>pproves the General Regulation for the Prevention of Professional Risks and Safety and Hygiene at Work</w:t>
            </w:r>
          </w:p>
        </w:tc>
        <w:tc>
          <w:tcPr>
            <w:tcW w:w="2380" w:type="dxa"/>
            <w:noWrap/>
          </w:tcPr>
          <w:p w14:paraId="1884D850" w14:textId="77777777" w:rsidR="00D60288" w:rsidRPr="00B4066B"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FE69C1">
              <w:rPr>
                <w:rFonts w:eastAsia="Times New Roman" w:cs="Arial"/>
                <w:color w:val="000000"/>
                <w:sz w:val="20"/>
                <w:szCs w:val="20"/>
                <w:lang w:val="en-US" w:eastAsia="de-DE"/>
              </w:rPr>
              <w:t>The Social Security Fund will ensure compliance with this regulation and must coordinate with the Ministry</w:t>
            </w:r>
            <w:r>
              <w:rPr>
                <w:rFonts w:eastAsia="Times New Roman" w:cs="Arial"/>
                <w:color w:val="000000"/>
                <w:sz w:val="20"/>
                <w:szCs w:val="20"/>
                <w:lang w:val="en-US" w:eastAsia="de-DE"/>
              </w:rPr>
              <w:t xml:space="preserve"> </w:t>
            </w:r>
            <w:r w:rsidRPr="00FE69C1">
              <w:rPr>
                <w:rFonts w:eastAsia="Times New Roman" w:cs="Arial"/>
                <w:color w:val="000000"/>
                <w:sz w:val="20"/>
                <w:szCs w:val="20"/>
                <w:lang w:val="en-US" w:eastAsia="de-DE"/>
              </w:rPr>
              <w:t>of Labor and Labor Development, the Ministry of Health and will collaborate with the Ministry of Commerce and</w:t>
            </w:r>
            <w:r>
              <w:rPr>
                <w:rFonts w:eastAsia="Times New Roman" w:cs="Arial"/>
                <w:color w:val="000000"/>
                <w:sz w:val="20"/>
                <w:szCs w:val="20"/>
                <w:lang w:val="en-US" w:eastAsia="de-DE"/>
              </w:rPr>
              <w:t xml:space="preserve"> </w:t>
            </w:r>
            <w:r w:rsidRPr="00FE69C1">
              <w:rPr>
                <w:rFonts w:eastAsia="Times New Roman" w:cs="Arial"/>
                <w:color w:val="000000"/>
                <w:sz w:val="20"/>
                <w:szCs w:val="20"/>
                <w:lang w:val="en-US" w:eastAsia="de-DE"/>
              </w:rPr>
              <w:t>Industries, in the relevant aspects</w:t>
            </w:r>
          </w:p>
        </w:tc>
      </w:tr>
      <w:tr w:rsidR="00D60288" w:rsidRPr="009D5A17" w14:paraId="695BC07E"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8836D5E" w14:textId="77777777" w:rsidR="00D60288" w:rsidRPr="00EA2B77" w:rsidRDefault="00D60288" w:rsidP="00E2502C">
            <w:pPr>
              <w:jc w:val="left"/>
              <w:rPr>
                <w:rFonts w:eastAsia="Times New Roman" w:cs="Arial"/>
                <w:bCs w:val="0"/>
                <w:color w:val="000000"/>
                <w:sz w:val="20"/>
                <w:szCs w:val="20"/>
                <w:lang w:eastAsia="de-DE"/>
              </w:rPr>
            </w:pPr>
            <w:r>
              <w:rPr>
                <w:rFonts w:eastAsia="Times New Roman" w:cs="Arial"/>
                <w:bCs w:val="0"/>
                <w:color w:val="000000"/>
                <w:sz w:val="20"/>
                <w:szCs w:val="20"/>
                <w:lang w:eastAsia="de-DE"/>
              </w:rPr>
              <w:t>Executive Decree No. 306 of 4 September 20</w:t>
            </w:r>
            <w:r w:rsidRPr="00192539">
              <w:rPr>
                <w:rFonts w:eastAsia="Times New Roman" w:cs="Arial"/>
                <w:bCs w:val="0"/>
                <w:color w:val="000000"/>
                <w:sz w:val="20"/>
                <w:szCs w:val="20"/>
                <w:lang w:eastAsia="de-DE"/>
              </w:rPr>
              <w:t>0</w:t>
            </w:r>
            <w:r>
              <w:rPr>
                <w:rFonts w:eastAsia="Times New Roman" w:cs="Arial"/>
                <w:bCs w:val="0"/>
                <w:color w:val="000000"/>
                <w:sz w:val="20"/>
                <w:szCs w:val="20"/>
                <w:lang w:eastAsia="de-DE"/>
              </w:rPr>
              <w:t>2</w:t>
            </w:r>
          </w:p>
        </w:tc>
        <w:tc>
          <w:tcPr>
            <w:tcW w:w="4260" w:type="dxa"/>
            <w:noWrap/>
          </w:tcPr>
          <w:p w14:paraId="050779EE"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R</w:t>
            </w:r>
            <w:r w:rsidRPr="00F5186D">
              <w:rPr>
                <w:rFonts w:eastAsia="Times New Roman" w:cs="Arial"/>
                <w:color w:val="000000"/>
                <w:sz w:val="20"/>
                <w:szCs w:val="20"/>
                <w:lang w:eastAsia="de-DE"/>
              </w:rPr>
              <w:t>egulates Safety, Health and Hygiene in the Construction Industry</w:t>
            </w:r>
          </w:p>
        </w:tc>
        <w:tc>
          <w:tcPr>
            <w:tcW w:w="2380" w:type="dxa"/>
            <w:noWrap/>
          </w:tcPr>
          <w:p w14:paraId="0ADD5D94" w14:textId="77777777" w:rsidR="00D60288" w:rsidRPr="00FE69C1"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FE69C1">
              <w:rPr>
                <w:rFonts w:eastAsia="Times New Roman" w:cs="Arial"/>
                <w:color w:val="000000"/>
                <w:sz w:val="20"/>
                <w:szCs w:val="20"/>
                <w:lang w:val="en-US" w:eastAsia="de-DE"/>
              </w:rPr>
              <w:t>Ministry</w:t>
            </w:r>
            <w:r>
              <w:rPr>
                <w:rFonts w:eastAsia="Times New Roman" w:cs="Arial"/>
                <w:color w:val="000000"/>
                <w:sz w:val="20"/>
                <w:szCs w:val="20"/>
                <w:lang w:val="en-US" w:eastAsia="de-DE"/>
              </w:rPr>
              <w:t xml:space="preserve"> </w:t>
            </w:r>
            <w:r w:rsidRPr="00FE69C1">
              <w:rPr>
                <w:rFonts w:eastAsia="Times New Roman" w:cs="Arial"/>
                <w:color w:val="000000"/>
                <w:sz w:val="20"/>
                <w:szCs w:val="20"/>
                <w:lang w:val="en-US" w:eastAsia="de-DE"/>
              </w:rPr>
              <w:t>of Labor and Labor Development</w:t>
            </w:r>
          </w:p>
        </w:tc>
      </w:tr>
      <w:tr w:rsidR="00D60288" w:rsidRPr="009D5A17" w14:paraId="6D08D9A5"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FF497C8" w14:textId="77777777" w:rsidR="00D60288" w:rsidRDefault="00D60288" w:rsidP="00E2502C">
            <w:pPr>
              <w:jc w:val="left"/>
              <w:rPr>
                <w:rFonts w:eastAsia="Times New Roman" w:cs="Arial"/>
                <w:bCs w:val="0"/>
                <w:color w:val="000000"/>
                <w:sz w:val="20"/>
                <w:szCs w:val="20"/>
                <w:lang w:eastAsia="de-DE"/>
              </w:rPr>
            </w:pPr>
            <w:r>
              <w:rPr>
                <w:rFonts w:eastAsia="Times New Roman" w:cs="Arial"/>
                <w:bCs w:val="0"/>
                <w:color w:val="000000"/>
                <w:sz w:val="20"/>
                <w:szCs w:val="20"/>
                <w:lang w:eastAsia="de-DE"/>
              </w:rPr>
              <w:t xml:space="preserve">Executive Decree No. </w:t>
            </w:r>
            <w:r w:rsidRPr="00192539">
              <w:rPr>
                <w:rFonts w:eastAsia="Times New Roman" w:cs="Arial"/>
                <w:bCs w:val="0"/>
                <w:color w:val="000000"/>
                <w:sz w:val="20"/>
                <w:szCs w:val="20"/>
                <w:lang w:eastAsia="de-DE"/>
              </w:rPr>
              <w:t>2</w:t>
            </w:r>
            <w:r>
              <w:rPr>
                <w:rFonts w:eastAsia="Times New Roman" w:cs="Arial"/>
                <w:bCs w:val="0"/>
                <w:color w:val="000000"/>
                <w:sz w:val="20"/>
                <w:szCs w:val="20"/>
                <w:lang w:eastAsia="de-DE"/>
              </w:rPr>
              <w:t xml:space="preserve"> of 15 February 20</w:t>
            </w:r>
            <w:r w:rsidRPr="00192539">
              <w:rPr>
                <w:rFonts w:eastAsia="Times New Roman" w:cs="Arial"/>
                <w:bCs w:val="0"/>
                <w:color w:val="000000"/>
                <w:sz w:val="20"/>
                <w:szCs w:val="20"/>
                <w:lang w:eastAsia="de-DE"/>
              </w:rPr>
              <w:t>08</w:t>
            </w:r>
          </w:p>
        </w:tc>
        <w:tc>
          <w:tcPr>
            <w:tcW w:w="4260" w:type="dxa"/>
            <w:noWrap/>
          </w:tcPr>
          <w:p w14:paraId="656FD714"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C280C">
              <w:rPr>
                <w:rFonts w:eastAsia="Times New Roman" w:cs="Arial"/>
                <w:color w:val="000000"/>
                <w:sz w:val="20"/>
                <w:szCs w:val="20"/>
                <w:lang w:eastAsia="de-DE"/>
              </w:rPr>
              <w:t>Which adopts the regulation for noise control in public spaces, residential or room areas, as well as in work environments</w:t>
            </w:r>
            <w:r>
              <w:rPr>
                <w:rFonts w:eastAsia="Times New Roman" w:cs="Arial"/>
                <w:color w:val="000000"/>
                <w:sz w:val="20"/>
                <w:szCs w:val="20"/>
                <w:lang w:eastAsia="de-DE"/>
              </w:rPr>
              <w:t xml:space="preserve">. </w:t>
            </w:r>
          </w:p>
        </w:tc>
        <w:tc>
          <w:tcPr>
            <w:tcW w:w="2380" w:type="dxa"/>
            <w:noWrap/>
          </w:tcPr>
          <w:p w14:paraId="0E9B0B30" w14:textId="77777777" w:rsidR="00D60288" w:rsidRPr="00FE69C1"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Health Ministry</w:t>
            </w:r>
          </w:p>
        </w:tc>
      </w:tr>
      <w:tr w:rsidR="00D60288" w:rsidRPr="009D5A17" w14:paraId="7CBCAF12"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7928B67" w14:textId="77777777" w:rsidR="00D60288" w:rsidRDefault="00D60288" w:rsidP="00E2502C">
            <w:pPr>
              <w:jc w:val="left"/>
              <w:rPr>
                <w:rFonts w:eastAsia="Times New Roman" w:cs="Arial"/>
                <w:bCs w:val="0"/>
                <w:color w:val="000000"/>
                <w:sz w:val="20"/>
                <w:szCs w:val="20"/>
                <w:lang w:eastAsia="de-DE"/>
              </w:rPr>
            </w:pPr>
            <w:r>
              <w:rPr>
                <w:rFonts w:eastAsia="Times New Roman" w:cs="Arial"/>
                <w:bCs w:val="0"/>
                <w:color w:val="000000"/>
                <w:sz w:val="20"/>
                <w:szCs w:val="20"/>
                <w:lang w:eastAsia="de-DE"/>
              </w:rPr>
              <w:t>Executive Decree No. 1 of 15 January 20</w:t>
            </w:r>
            <w:r w:rsidRPr="00192539">
              <w:rPr>
                <w:rFonts w:eastAsia="Times New Roman" w:cs="Arial"/>
                <w:bCs w:val="0"/>
                <w:color w:val="000000"/>
                <w:sz w:val="20"/>
                <w:szCs w:val="20"/>
                <w:lang w:eastAsia="de-DE"/>
              </w:rPr>
              <w:t>0</w:t>
            </w:r>
            <w:r>
              <w:rPr>
                <w:rFonts w:eastAsia="Times New Roman" w:cs="Arial"/>
                <w:bCs w:val="0"/>
                <w:color w:val="000000"/>
                <w:sz w:val="20"/>
                <w:szCs w:val="20"/>
                <w:lang w:eastAsia="de-DE"/>
              </w:rPr>
              <w:t>4</w:t>
            </w:r>
          </w:p>
        </w:tc>
        <w:tc>
          <w:tcPr>
            <w:tcW w:w="4260" w:type="dxa"/>
            <w:noWrap/>
          </w:tcPr>
          <w:p w14:paraId="1BFA96A8" w14:textId="77777777" w:rsidR="00D60288" w:rsidRPr="002C280C"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D</w:t>
            </w:r>
            <w:r w:rsidRPr="00DA3FA8">
              <w:rPr>
                <w:rFonts w:eastAsia="Times New Roman" w:cs="Arial"/>
                <w:color w:val="000000"/>
                <w:sz w:val="20"/>
                <w:szCs w:val="20"/>
                <w:lang w:eastAsia="de-DE"/>
              </w:rPr>
              <w:t>etermines Noise Levels for Residential and Industrial Areas.</w:t>
            </w:r>
          </w:p>
        </w:tc>
        <w:tc>
          <w:tcPr>
            <w:tcW w:w="2380" w:type="dxa"/>
            <w:noWrap/>
          </w:tcPr>
          <w:p w14:paraId="77727342"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Health Ministry</w:t>
            </w:r>
          </w:p>
        </w:tc>
      </w:tr>
      <w:tr w:rsidR="00D60288" w:rsidRPr="00102605" w14:paraId="763CEA67"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D954EBB" w14:textId="77777777" w:rsidR="00D60288" w:rsidRPr="00102605"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Executive Decree No. 123 of 14 August 2009</w:t>
            </w:r>
          </w:p>
        </w:tc>
        <w:tc>
          <w:tcPr>
            <w:tcW w:w="4260" w:type="dxa"/>
            <w:noWrap/>
          </w:tcPr>
          <w:p w14:paraId="13FA4C41"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Regulates </w:t>
            </w:r>
            <w:r w:rsidRPr="009F4679">
              <w:rPr>
                <w:rFonts w:eastAsia="Times New Roman" w:cs="Arial"/>
                <w:color w:val="000000"/>
                <w:sz w:val="20"/>
                <w:szCs w:val="20"/>
                <w:lang w:eastAsia="de-DE"/>
              </w:rPr>
              <w:t>Chapter II of Title IV of Law 41 of July 1, 1998</w:t>
            </w:r>
            <w:r>
              <w:rPr>
                <w:rFonts w:eastAsia="Times New Roman" w:cs="Arial"/>
                <w:color w:val="000000"/>
                <w:sz w:val="20"/>
                <w:szCs w:val="20"/>
                <w:lang w:eastAsia="de-DE"/>
              </w:rPr>
              <w:t xml:space="preserve"> (G</w:t>
            </w:r>
            <w:r w:rsidRPr="009F4679">
              <w:rPr>
                <w:rFonts w:eastAsia="Times New Roman" w:cs="Arial"/>
                <w:color w:val="000000"/>
                <w:sz w:val="20"/>
                <w:szCs w:val="20"/>
                <w:lang w:eastAsia="de-DE"/>
              </w:rPr>
              <w:t>eneral Environment</w:t>
            </w:r>
            <w:r>
              <w:rPr>
                <w:rFonts w:eastAsia="Times New Roman" w:cs="Arial"/>
                <w:color w:val="000000"/>
                <w:sz w:val="20"/>
                <w:szCs w:val="20"/>
                <w:lang w:eastAsia="de-DE"/>
              </w:rPr>
              <w:t>al Law)</w:t>
            </w:r>
            <w:r w:rsidRPr="009F4679">
              <w:rPr>
                <w:rFonts w:eastAsia="Times New Roman" w:cs="Arial"/>
                <w:color w:val="000000"/>
                <w:sz w:val="20"/>
                <w:szCs w:val="20"/>
                <w:lang w:eastAsia="de-DE"/>
              </w:rPr>
              <w:t>,</w:t>
            </w:r>
            <w:r>
              <w:rPr>
                <w:rFonts w:eastAsia="Times New Roman" w:cs="Arial"/>
                <w:color w:val="000000"/>
                <w:sz w:val="20"/>
                <w:szCs w:val="20"/>
                <w:lang w:eastAsia="de-DE"/>
              </w:rPr>
              <w:t xml:space="preserve"> establishing the p</w:t>
            </w:r>
            <w:r w:rsidRPr="00102605">
              <w:rPr>
                <w:rFonts w:eastAsia="Times New Roman" w:cs="Arial"/>
                <w:color w:val="000000"/>
                <w:sz w:val="20"/>
                <w:szCs w:val="20"/>
                <w:lang w:eastAsia="de-DE"/>
              </w:rPr>
              <w:t xml:space="preserve">rocess to assess the environmental impact of </w:t>
            </w:r>
            <w:r>
              <w:rPr>
                <w:rFonts w:eastAsia="Times New Roman" w:cs="Arial"/>
                <w:color w:val="000000"/>
                <w:sz w:val="20"/>
                <w:szCs w:val="20"/>
                <w:lang w:eastAsia="de-DE"/>
              </w:rPr>
              <w:t xml:space="preserve">public or private </w:t>
            </w:r>
            <w:r w:rsidRPr="00102605">
              <w:rPr>
                <w:rFonts w:eastAsia="Times New Roman" w:cs="Arial"/>
                <w:color w:val="000000"/>
                <w:sz w:val="20"/>
                <w:szCs w:val="20"/>
                <w:lang w:eastAsia="de-DE"/>
              </w:rPr>
              <w:t xml:space="preserve">projects </w:t>
            </w:r>
          </w:p>
        </w:tc>
        <w:tc>
          <w:tcPr>
            <w:tcW w:w="2380" w:type="dxa"/>
            <w:noWrap/>
          </w:tcPr>
          <w:p w14:paraId="044C17E2" w14:textId="77777777" w:rsidR="00D60288" w:rsidRPr="00102605"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val="en-US" w:eastAsia="de-DE"/>
              </w:rPr>
              <w:t>Ministry of Environment</w:t>
            </w:r>
          </w:p>
        </w:tc>
      </w:tr>
      <w:tr w:rsidR="00D60288" w:rsidRPr="00102605" w14:paraId="15CF03B8"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9F95F31" w14:textId="77777777"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Law No. 295 of 25 April 2022</w:t>
            </w:r>
          </w:p>
        </w:tc>
        <w:tc>
          <w:tcPr>
            <w:tcW w:w="4260" w:type="dxa"/>
            <w:noWrap/>
          </w:tcPr>
          <w:p w14:paraId="0EC59253"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It establishes a regulatory framework for the development and operation of electric mobility </w:t>
            </w:r>
            <w:proofErr w:type="gramStart"/>
            <w:r>
              <w:rPr>
                <w:rFonts w:eastAsia="Times New Roman" w:cs="Arial"/>
                <w:color w:val="000000"/>
                <w:sz w:val="20"/>
                <w:szCs w:val="20"/>
                <w:lang w:eastAsia="de-DE"/>
              </w:rPr>
              <w:t>in order to</w:t>
            </w:r>
            <w:proofErr w:type="gramEnd"/>
            <w:r>
              <w:rPr>
                <w:rFonts w:eastAsia="Times New Roman" w:cs="Arial"/>
                <w:color w:val="000000"/>
                <w:sz w:val="20"/>
                <w:szCs w:val="20"/>
                <w:lang w:eastAsia="de-DE"/>
              </w:rPr>
              <w:t xml:space="preserve"> reduce GHG emissions, promote the use of renewable energy and electric mobility. </w:t>
            </w:r>
          </w:p>
        </w:tc>
        <w:tc>
          <w:tcPr>
            <w:tcW w:w="2380" w:type="dxa"/>
            <w:noWrap/>
          </w:tcPr>
          <w:p w14:paraId="4C8B447B"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BD567F">
              <w:rPr>
                <w:rFonts w:eastAsia="Times New Roman" w:cs="Arial"/>
                <w:color w:val="000000"/>
                <w:sz w:val="20"/>
                <w:szCs w:val="20"/>
                <w:lang w:val="en-US" w:eastAsia="de-DE"/>
              </w:rPr>
              <w:t>Transit and ground transportation authority</w:t>
            </w:r>
          </w:p>
        </w:tc>
      </w:tr>
      <w:tr w:rsidR="00D60288" w:rsidRPr="00102605" w14:paraId="15FB2586"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1CE65F0" w14:textId="77777777"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Law No. 14 of 26 May 1993, its regulative Executive Decree No. 186 of 28 June 1993 and Law No 42 of 22 October 2007</w:t>
            </w:r>
          </w:p>
        </w:tc>
        <w:tc>
          <w:tcPr>
            <w:tcW w:w="4260" w:type="dxa"/>
            <w:noWrap/>
          </w:tcPr>
          <w:p w14:paraId="26297597"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It regulates public passengers ground transport</w:t>
            </w:r>
          </w:p>
        </w:tc>
        <w:tc>
          <w:tcPr>
            <w:tcW w:w="2380" w:type="dxa"/>
            <w:noWrap/>
          </w:tcPr>
          <w:p w14:paraId="1F90EDAF"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N</w:t>
            </w:r>
            <w:r w:rsidRPr="00E562C6">
              <w:rPr>
                <w:rFonts w:eastAsia="Times New Roman" w:cs="Arial"/>
                <w:color w:val="000000"/>
                <w:sz w:val="20"/>
                <w:szCs w:val="20"/>
                <w:lang w:val="en-US" w:eastAsia="de-DE"/>
              </w:rPr>
              <w:t xml:space="preserve">ational </w:t>
            </w:r>
            <w:r>
              <w:rPr>
                <w:rFonts w:eastAsia="Times New Roman" w:cs="Arial"/>
                <w:color w:val="000000"/>
                <w:sz w:val="20"/>
                <w:szCs w:val="20"/>
                <w:lang w:val="en-US" w:eastAsia="de-DE"/>
              </w:rPr>
              <w:t>D</w:t>
            </w:r>
            <w:r w:rsidRPr="00E562C6">
              <w:rPr>
                <w:rFonts w:eastAsia="Times New Roman" w:cs="Arial"/>
                <w:color w:val="000000"/>
                <w:sz w:val="20"/>
                <w:szCs w:val="20"/>
                <w:lang w:val="en-US" w:eastAsia="de-DE"/>
              </w:rPr>
              <w:t xml:space="preserve">irection of </w:t>
            </w:r>
            <w:r>
              <w:rPr>
                <w:rFonts w:eastAsia="Times New Roman" w:cs="Arial"/>
                <w:color w:val="000000"/>
                <w:sz w:val="20"/>
                <w:szCs w:val="20"/>
                <w:lang w:val="en-US" w:eastAsia="de-DE"/>
              </w:rPr>
              <w:t>T</w:t>
            </w:r>
            <w:r w:rsidRPr="00E562C6">
              <w:rPr>
                <w:rFonts w:eastAsia="Times New Roman" w:cs="Arial"/>
                <w:color w:val="000000"/>
                <w:sz w:val="20"/>
                <w:szCs w:val="20"/>
                <w:lang w:val="en-US" w:eastAsia="de-DE"/>
              </w:rPr>
              <w:t xml:space="preserve">ransit and </w:t>
            </w:r>
            <w:r>
              <w:rPr>
                <w:rFonts w:eastAsia="Times New Roman" w:cs="Arial"/>
                <w:color w:val="000000"/>
                <w:sz w:val="20"/>
                <w:szCs w:val="20"/>
                <w:lang w:val="en-US" w:eastAsia="de-DE"/>
              </w:rPr>
              <w:t>L</w:t>
            </w:r>
            <w:r w:rsidRPr="00E562C6">
              <w:rPr>
                <w:rFonts w:eastAsia="Times New Roman" w:cs="Arial"/>
                <w:color w:val="000000"/>
                <w:sz w:val="20"/>
                <w:szCs w:val="20"/>
                <w:lang w:val="en-US" w:eastAsia="de-DE"/>
              </w:rPr>
              <w:t xml:space="preserve">and </w:t>
            </w:r>
            <w:r>
              <w:rPr>
                <w:rFonts w:eastAsia="Times New Roman" w:cs="Arial"/>
                <w:color w:val="000000"/>
                <w:sz w:val="20"/>
                <w:szCs w:val="20"/>
                <w:lang w:val="en-US" w:eastAsia="de-DE"/>
              </w:rPr>
              <w:t>T</w:t>
            </w:r>
            <w:r w:rsidRPr="00E562C6">
              <w:rPr>
                <w:rFonts w:eastAsia="Times New Roman" w:cs="Arial"/>
                <w:color w:val="000000"/>
                <w:sz w:val="20"/>
                <w:szCs w:val="20"/>
                <w:lang w:val="en-US" w:eastAsia="de-DE"/>
              </w:rPr>
              <w:t>ransport</w:t>
            </w:r>
          </w:p>
        </w:tc>
      </w:tr>
      <w:tr w:rsidR="00D60288" w:rsidRPr="00102605" w14:paraId="71B4D149"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5EDB3C13" w14:textId="77777777" w:rsidR="00D60288"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Law No. 51 of 28 June 2017</w:t>
            </w:r>
          </w:p>
        </w:tc>
        <w:tc>
          <w:tcPr>
            <w:tcW w:w="4260" w:type="dxa"/>
            <w:noWrap/>
          </w:tcPr>
          <w:p w14:paraId="1B9CA029"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It regulates freight ground transport</w:t>
            </w:r>
          </w:p>
        </w:tc>
        <w:tc>
          <w:tcPr>
            <w:tcW w:w="2380" w:type="dxa"/>
            <w:noWrap/>
          </w:tcPr>
          <w:p w14:paraId="62B91704"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 xml:space="preserve">Ground Freight Transport Direction within the Ground transport and Transit Authority </w:t>
            </w:r>
          </w:p>
        </w:tc>
      </w:tr>
      <w:tr w:rsidR="00D60288" w:rsidRPr="00173B1A" w14:paraId="107F6179"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0CDDFBF" w14:textId="77777777"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eastAsia="de-DE"/>
              </w:rPr>
              <w:t>La No. 4 of 29 January 1999 an</w:t>
            </w:r>
            <w:r w:rsidRPr="00CD1A40">
              <w:rPr>
                <w:rFonts w:eastAsia="Times New Roman" w:cs="Arial"/>
                <w:color w:val="000000"/>
                <w:sz w:val="20"/>
                <w:szCs w:val="20"/>
                <w:lang w:eastAsia="de-DE"/>
              </w:rPr>
              <w:t>d Its regulat</w:t>
            </w:r>
            <w:r w:rsidRPr="00C3075E">
              <w:rPr>
                <w:rFonts w:eastAsia="Times New Roman" w:cs="Arial"/>
                <w:color w:val="000000"/>
                <w:sz w:val="20"/>
                <w:szCs w:val="20"/>
                <w:lang w:eastAsia="de-DE"/>
              </w:rPr>
              <w:t>ive</w:t>
            </w:r>
            <w:r w:rsidRPr="00CD1A40">
              <w:rPr>
                <w:rFonts w:eastAsia="Times New Roman" w:cs="Arial"/>
                <w:color w:val="000000"/>
                <w:sz w:val="20"/>
                <w:szCs w:val="20"/>
                <w:lang w:eastAsia="de-DE"/>
              </w:rPr>
              <w:t xml:space="preserve"> Executive</w:t>
            </w:r>
            <w:r>
              <w:rPr>
                <w:rFonts w:eastAsia="Times New Roman" w:cs="Arial"/>
                <w:color w:val="000000"/>
                <w:sz w:val="20"/>
                <w:szCs w:val="20"/>
                <w:lang w:eastAsia="de-DE"/>
              </w:rPr>
              <w:t xml:space="preserve"> Decree No. 5 of 25 June 2002</w:t>
            </w:r>
          </w:p>
        </w:tc>
        <w:tc>
          <w:tcPr>
            <w:tcW w:w="4260" w:type="dxa"/>
            <w:noWrap/>
          </w:tcPr>
          <w:p w14:paraId="350D708A" w14:textId="77777777" w:rsidR="00D60288" w:rsidRPr="00C3075E"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C3075E">
              <w:rPr>
                <w:rFonts w:eastAsia="Times New Roman" w:cs="Arial"/>
                <w:color w:val="000000"/>
                <w:sz w:val="20"/>
                <w:szCs w:val="20"/>
                <w:lang w:val="en-US" w:eastAsia="de-DE"/>
              </w:rPr>
              <w:t>The objective of the law is the development of public anti-gender discrimination policy</w:t>
            </w:r>
            <w:r>
              <w:rPr>
                <w:rFonts w:eastAsia="Times New Roman" w:cs="Arial"/>
                <w:color w:val="000000"/>
                <w:sz w:val="20"/>
                <w:szCs w:val="20"/>
                <w:lang w:val="en-US" w:eastAsia="de-DE"/>
              </w:rPr>
              <w:t xml:space="preserve"> and through the Executive it </w:t>
            </w:r>
            <w:r w:rsidRPr="00AD79DA">
              <w:rPr>
                <w:rFonts w:eastAsia="Times New Roman" w:cs="Arial"/>
                <w:color w:val="000000"/>
                <w:sz w:val="20"/>
                <w:szCs w:val="20"/>
                <w:lang w:val="en-US" w:eastAsia="de-DE"/>
              </w:rPr>
              <w:t>operationalizes the development of the concepts, create the institutional mechanisms and generate the implementation procedures.</w:t>
            </w:r>
          </w:p>
        </w:tc>
        <w:tc>
          <w:tcPr>
            <w:tcW w:w="2380" w:type="dxa"/>
            <w:noWrap/>
          </w:tcPr>
          <w:p w14:paraId="5FA322EA" w14:textId="77777777" w:rsidR="00D60288" w:rsidRPr="00173B1A"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C3075E">
              <w:rPr>
                <w:rFonts w:eastAsia="Times New Roman" w:cs="Arial"/>
                <w:color w:val="000000"/>
                <w:sz w:val="20"/>
                <w:szCs w:val="20"/>
                <w:lang w:val="en-US" w:eastAsia="de-DE"/>
              </w:rPr>
              <w:t>Ministry of Youth, Women, and the Family</w:t>
            </w:r>
            <w:r>
              <w:rPr>
                <w:rFonts w:eastAsia="Times New Roman" w:cs="Arial"/>
                <w:color w:val="000000"/>
                <w:sz w:val="20"/>
                <w:szCs w:val="20"/>
                <w:lang w:val="en-US" w:eastAsia="de-DE"/>
              </w:rPr>
              <w:t xml:space="preserve"> and the N</w:t>
            </w:r>
            <w:r w:rsidRPr="002B6887">
              <w:rPr>
                <w:rFonts w:eastAsia="Times New Roman" w:cs="Arial"/>
                <w:color w:val="000000"/>
                <w:sz w:val="20"/>
                <w:szCs w:val="20"/>
                <w:lang w:val="en-US" w:eastAsia="de-DE"/>
              </w:rPr>
              <w:t xml:space="preserve">ational </w:t>
            </w:r>
            <w:r>
              <w:rPr>
                <w:rFonts w:eastAsia="Times New Roman" w:cs="Arial"/>
                <w:color w:val="000000"/>
                <w:sz w:val="20"/>
                <w:szCs w:val="20"/>
                <w:lang w:val="en-US" w:eastAsia="de-DE"/>
              </w:rPr>
              <w:t>W</w:t>
            </w:r>
            <w:r w:rsidRPr="002B6887">
              <w:rPr>
                <w:rFonts w:eastAsia="Times New Roman" w:cs="Arial"/>
                <w:color w:val="000000"/>
                <w:sz w:val="20"/>
                <w:szCs w:val="20"/>
                <w:lang w:val="en-US" w:eastAsia="de-DE"/>
              </w:rPr>
              <w:t>omen's council</w:t>
            </w:r>
          </w:p>
        </w:tc>
      </w:tr>
      <w:tr w:rsidR="00D60288" w:rsidRPr="00D80FED" w14:paraId="109048D2"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1CB191B" w14:textId="77777777" w:rsidR="00D60288" w:rsidRDefault="00D60288" w:rsidP="00E2502C">
            <w:pPr>
              <w:jc w:val="left"/>
              <w:rPr>
                <w:rFonts w:eastAsia="Times New Roman" w:cs="Arial"/>
                <w:color w:val="000000"/>
                <w:sz w:val="20"/>
                <w:szCs w:val="20"/>
                <w:lang w:eastAsia="de-DE"/>
              </w:rPr>
            </w:pPr>
            <w:r w:rsidRPr="00102605">
              <w:rPr>
                <w:rFonts w:eastAsia="Times New Roman" w:cs="Arial"/>
                <w:color w:val="000000"/>
                <w:sz w:val="20"/>
                <w:szCs w:val="20"/>
                <w:lang w:eastAsia="de-DE"/>
              </w:rPr>
              <w:t xml:space="preserve">Executive Decree No. </w:t>
            </w:r>
            <w:r>
              <w:rPr>
                <w:rFonts w:eastAsia="Times New Roman" w:cs="Arial"/>
                <w:color w:val="000000"/>
                <w:sz w:val="20"/>
                <w:szCs w:val="20"/>
                <w:lang w:eastAsia="de-DE"/>
              </w:rPr>
              <w:t>244</w:t>
            </w:r>
            <w:r w:rsidRPr="00102605">
              <w:rPr>
                <w:rFonts w:eastAsia="Times New Roman" w:cs="Arial"/>
                <w:color w:val="000000"/>
                <w:sz w:val="20"/>
                <w:szCs w:val="20"/>
                <w:lang w:eastAsia="de-DE"/>
              </w:rPr>
              <w:t xml:space="preserve"> of 1</w:t>
            </w:r>
            <w:r>
              <w:rPr>
                <w:rFonts w:eastAsia="Times New Roman" w:cs="Arial"/>
                <w:color w:val="000000"/>
                <w:sz w:val="20"/>
                <w:szCs w:val="20"/>
                <w:lang w:eastAsia="de-DE"/>
              </w:rPr>
              <w:t>8</w:t>
            </w:r>
            <w:r w:rsidRPr="00102605">
              <w:rPr>
                <w:rFonts w:eastAsia="Times New Roman" w:cs="Arial"/>
                <w:color w:val="000000"/>
                <w:sz w:val="20"/>
                <w:szCs w:val="20"/>
                <w:lang w:eastAsia="de-DE"/>
              </w:rPr>
              <w:t xml:space="preserve"> </w:t>
            </w:r>
            <w:r>
              <w:rPr>
                <w:rFonts w:eastAsia="Times New Roman" w:cs="Arial"/>
                <w:color w:val="000000"/>
                <w:sz w:val="20"/>
                <w:szCs w:val="20"/>
                <w:lang w:eastAsia="de-DE"/>
              </w:rPr>
              <w:t xml:space="preserve">December </w:t>
            </w:r>
            <w:r w:rsidRPr="00102605">
              <w:rPr>
                <w:rFonts w:eastAsia="Times New Roman" w:cs="Arial"/>
                <w:color w:val="000000"/>
                <w:sz w:val="20"/>
                <w:szCs w:val="20"/>
                <w:lang w:eastAsia="de-DE"/>
              </w:rPr>
              <w:t>200</w:t>
            </w:r>
            <w:r>
              <w:rPr>
                <w:rFonts w:eastAsia="Times New Roman" w:cs="Arial"/>
                <w:color w:val="000000"/>
                <w:sz w:val="20"/>
                <w:szCs w:val="20"/>
                <w:lang w:eastAsia="de-DE"/>
              </w:rPr>
              <w:t>2</w:t>
            </w:r>
          </w:p>
        </w:tc>
        <w:tc>
          <w:tcPr>
            <w:tcW w:w="4260" w:type="dxa"/>
            <w:noWrap/>
          </w:tcPr>
          <w:p w14:paraId="678ED27C" w14:textId="77777777" w:rsidR="00D60288" w:rsidRPr="00D80FED"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73177A">
              <w:rPr>
                <w:rFonts w:eastAsia="Times New Roman" w:cs="Arial"/>
                <w:color w:val="000000"/>
                <w:sz w:val="20"/>
                <w:szCs w:val="20"/>
                <w:lang w:val="en-US" w:eastAsia="de-DE"/>
              </w:rPr>
              <w:t xml:space="preserve">The public policy of equal opportunities for women is adopted, which must be implemented in all State institutions, autonomous and semi-autonomous entities, organizations, </w:t>
            </w:r>
            <w:proofErr w:type="gramStart"/>
            <w:r w:rsidRPr="0073177A">
              <w:rPr>
                <w:rFonts w:eastAsia="Times New Roman" w:cs="Arial"/>
                <w:color w:val="000000"/>
                <w:sz w:val="20"/>
                <w:szCs w:val="20"/>
                <w:lang w:val="en-US" w:eastAsia="de-DE"/>
              </w:rPr>
              <w:t>companies</w:t>
            </w:r>
            <w:proofErr w:type="gramEnd"/>
            <w:r w:rsidRPr="0073177A">
              <w:rPr>
                <w:rFonts w:eastAsia="Times New Roman" w:cs="Arial"/>
                <w:color w:val="000000"/>
                <w:sz w:val="20"/>
                <w:szCs w:val="20"/>
                <w:lang w:val="en-US" w:eastAsia="de-DE"/>
              </w:rPr>
              <w:t xml:space="preserve"> and social communication media.</w:t>
            </w:r>
          </w:p>
        </w:tc>
        <w:tc>
          <w:tcPr>
            <w:tcW w:w="2380" w:type="dxa"/>
            <w:noWrap/>
          </w:tcPr>
          <w:p w14:paraId="6D2DC94C" w14:textId="77777777" w:rsidR="00D60288" w:rsidRPr="00D80FED"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Women National Institute and Social Development Ministry</w:t>
            </w:r>
          </w:p>
        </w:tc>
      </w:tr>
      <w:tr w:rsidR="00D60288" w:rsidRPr="00D80FED" w14:paraId="344D33EA"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46B1875" w14:textId="49C71D26" w:rsidR="00D60288" w:rsidRPr="00102605" w:rsidRDefault="00D60288" w:rsidP="00E2502C">
            <w:pPr>
              <w:jc w:val="left"/>
              <w:rPr>
                <w:rFonts w:eastAsia="Times New Roman" w:cs="Arial"/>
                <w:color w:val="000000"/>
                <w:sz w:val="20"/>
                <w:szCs w:val="20"/>
                <w:lang w:eastAsia="de-DE"/>
              </w:rPr>
            </w:pPr>
            <w:r>
              <w:rPr>
                <w:rFonts w:eastAsia="Times New Roman" w:cs="Arial"/>
                <w:color w:val="000000"/>
                <w:sz w:val="20"/>
                <w:szCs w:val="20"/>
                <w:lang w:val="en-US" w:eastAsia="de-DE"/>
              </w:rPr>
              <w:t>Gender</w:t>
            </w:r>
          </w:p>
        </w:tc>
        <w:tc>
          <w:tcPr>
            <w:tcW w:w="4260" w:type="dxa"/>
            <w:noWrap/>
          </w:tcPr>
          <w:p w14:paraId="5B962AD3" w14:textId="77777777" w:rsidR="00D60288" w:rsidRPr="0073177A"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
        </w:tc>
        <w:tc>
          <w:tcPr>
            <w:tcW w:w="2380" w:type="dxa"/>
            <w:noWrap/>
          </w:tcPr>
          <w:p w14:paraId="2AF5D731" w14:textId="77777777" w:rsidR="00D60288" w:rsidRDefault="00D60288"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
        </w:tc>
      </w:tr>
      <w:tr w:rsidR="00D60288" w:rsidRPr="00D80FED" w14:paraId="52B92A4F"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9468" w:type="dxa"/>
            <w:gridSpan w:val="3"/>
            <w:noWrap/>
          </w:tcPr>
          <w:p w14:paraId="7D1C7E68" w14:textId="77777777" w:rsidR="00D60288" w:rsidRPr="00363024" w:rsidRDefault="00D60288" w:rsidP="00D60288">
            <w:pPr>
              <w:pStyle w:val="Prrafodelista"/>
              <w:numPr>
                <w:ilvl w:val="0"/>
                <w:numId w:val="69"/>
              </w:numPr>
              <w:ind w:left="458" w:hanging="425"/>
              <w:rPr>
                <w:rFonts w:eastAsia="Times New Roman" w:cs="Arial"/>
                <w:b w:val="0"/>
                <w:bCs w:val="0"/>
                <w:color w:val="000000"/>
                <w:sz w:val="20"/>
                <w:szCs w:val="20"/>
                <w:lang w:val="en-US" w:eastAsia="de-DE"/>
              </w:rPr>
            </w:pPr>
            <w:r w:rsidRPr="00363024">
              <w:rPr>
                <w:rFonts w:eastAsia="Times New Roman" w:cs="Arial"/>
                <w:b w:val="0"/>
                <w:bCs w:val="0"/>
                <w:color w:val="000000"/>
                <w:sz w:val="20"/>
                <w:szCs w:val="20"/>
                <w:lang w:val="en-US" w:eastAsia="de-DE"/>
              </w:rPr>
              <w:t>Convention on the Elimination of All forms of Discrimination Against Women (CEDAW). Accession in 1981. Ratification of Optional Protocol in 2001</w:t>
            </w:r>
          </w:p>
          <w:p w14:paraId="492A643A" w14:textId="77777777" w:rsidR="00D60288" w:rsidRPr="00363024" w:rsidRDefault="00D60288" w:rsidP="00D60288">
            <w:pPr>
              <w:pStyle w:val="Prrafodelista"/>
              <w:numPr>
                <w:ilvl w:val="0"/>
                <w:numId w:val="69"/>
              </w:numPr>
              <w:ind w:left="458" w:hanging="425"/>
              <w:jc w:val="left"/>
              <w:rPr>
                <w:rFonts w:eastAsia="Times New Roman" w:cs="Arial"/>
                <w:b w:val="0"/>
                <w:bCs w:val="0"/>
                <w:color w:val="000000"/>
                <w:sz w:val="20"/>
                <w:szCs w:val="20"/>
                <w:lang w:val="en-US" w:eastAsia="de-DE"/>
              </w:rPr>
            </w:pPr>
            <w:r w:rsidRPr="00363024">
              <w:rPr>
                <w:rFonts w:eastAsia="Times New Roman" w:cs="Arial"/>
                <w:b w:val="0"/>
                <w:bCs w:val="0"/>
                <w:color w:val="000000"/>
                <w:sz w:val="20"/>
                <w:szCs w:val="20"/>
                <w:lang w:val="en-US" w:eastAsia="de-DE"/>
              </w:rPr>
              <w:t>Beijing Declaration and Platform for Action (1995).</w:t>
            </w:r>
          </w:p>
          <w:p w14:paraId="7A53D611" w14:textId="77777777" w:rsidR="00D60288" w:rsidRPr="00363024" w:rsidRDefault="00D60288" w:rsidP="00D60288">
            <w:pPr>
              <w:pStyle w:val="Prrafodelista"/>
              <w:numPr>
                <w:ilvl w:val="0"/>
                <w:numId w:val="69"/>
              </w:numPr>
              <w:ind w:left="458" w:hanging="425"/>
              <w:jc w:val="left"/>
              <w:rPr>
                <w:rFonts w:eastAsia="Times New Roman" w:cs="Arial"/>
                <w:b w:val="0"/>
                <w:bCs w:val="0"/>
                <w:color w:val="000000"/>
                <w:sz w:val="20"/>
                <w:szCs w:val="20"/>
                <w:lang w:val="en-US" w:eastAsia="de-DE"/>
              </w:rPr>
            </w:pPr>
            <w:r w:rsidRPr="00363024">
              <w:rPr>
                <w:rFonts w:eastAsia="Times New Roman" w:cs="Arial"/>
                <w:b w:val="0"/>
                <w:bCs w:val="0"/>
                <w:color w:val="000000"/>
                <w:sz w:val="20"/>
                <w:szCs w:val="20"/>
                <w:lang w:val="en-US" w:eastAsia="de-DE"/>
              </w:rPr>
              <w:t>Creation of the National Institute for Women (2008).</w:t>
            </w:r>
          </w:p>
          <w:p w14:paraId="7D483193" w14:textId="77777777" w:rsidR="00D60288" w:rsidRPr="00363024" w:rsidRDefault="00D60288" w:rsidP="00D60288">
            <w:pPr>
              <w:pStyle w:val="Prrafodelista"/>
              <w:numPr>
                <w:ilvl w:val="0"/>
                <w:numId w:val="69"/>
              </w:numPr>
              <w:ind w:left="458" w:hanging="425"/>
              <w:rPr>
                <w:rFonts w:eastAsia="Times New Roman" w:cs="Arial"/>
                <w:b w:val="0"/>
                <w:bCs w:val="0"/>
                <w:color w:val="000000"/>
                <w:sz w:val="20"/>
                <w:szCs w:val="20"/>
                <w:lang w:val="en-US" w:eastAsia="de-DE"/>
              </w:rPr>
            </w:pPr>
            <w:r w:rsidRPr="00363024">
              <w:rPr>
                <w:rFonts w:eastAsia="Times New Roman" w:cs="Arial"/>
                <w:b w:val="0"/>
                <w:bCs w:val="0"/>
                <w:color w:val="000000"/>
                <w:sz w:val="20"/>
                <w:szCs w:val="20"/>
                <w:lang w:val="en-US" w:eastAsia="de-DE"/>
              </w:rPr>
              <w:t>Gender and Equal Opportunity Bureau attached to the Ministry of Labor and Workforce Development (2014).</w:t>
            </w:r>
          </w:p>
          <w:p w14:paraId="55A2C7B7" w14:textId="77777777" w:rsidR="00CE40D2" w:rsidRPr="003E6FF8" w:rsidRDefault="00D60288" w:rsidP="00E2502C">
            <w:pPr>
              <w:pStyle w:val="Prrafodelista"/>
              <w:numPr>
                <w:ilvl w:val="0"/>
                <w:numId w:val="69"/>
              </w:numPr>
              <w:ind w:left="458" w:hanging="425"/>
              <w:jc w:val="left"/>
              <w:rPr>
                <w:rFonts w:eastAsia="Times New Roman" w:cs="Arial"/>
                <w:b w:val="0"/>
                <w:bCs w:val="0"/>
                <w:color w:val="000000"/>
                <w:sz w:val="20"/>
                <w:szCs w:val="20"/>
                <w:lang w:val="en-US" w:eastAsia="de-DE"/>
              </w:rPr>
            </w:pPr>
            <w:r w:rsidRPr="00363024">
              <w:rPr>
                <w:rFonts w:eastAsia="Times New Roman" w:cs="Arial"/>
                <w:b w:val="0"/>
                <w:bCs w:val="0"/>
                <w:color w:val="000000"/>
                <w:sz w:val="20"/>
                <w:szCs w:val="20"/>
                <w:lang w:val="en-US" w:eastAsia="de-DE"/>
              </w:rPr>
              <w:t>Act Forbidding Discrimination at Work (2005).</w:t>
            </w:r>
          </w:p>
          <w:p w14:paraId="6E19114A" w14:textId="39CC6B6E" w:rsidR="00D60288" w:rsidRPr="003E6FF8" w:rsidRDefault="00D60288" w:rsidP="003E6FF8">
            <w:pPr>
              <w:pStyle w:val="Prrafodelista"/>
              <w:numPr>
                <w:ilvl w:val="0"/>
                <w:numId w:val="69"/>
              </w:numPr>
              <w:ind w:left="458" w:hanging="425"/>
              <w:rPr>
                <w:rFonts w:eastAsia="Times New Roman" w:cs="Arial"/>
                <w:b w:val="0"/>
                <w:bCs w:val="0"/>
                <w:color w:val="000000"/>
                <w:sz w:val="20"/>
                <w:szCs w:val="20"/>
                <w:lang w:val="en-US" w:eastAsia="de-DE"/>
              </w:rPr>
            </w:pPr>
            <w:r w:rsidRPr="003E6FF8">
              <w:rPr>
                <w:rFonts w:eastAsia="Times New Roman" w:cs="Arial"/>
                <w:b w:val="0"/>
                <w:bCs w:val="0"/>
                <w:color w:val="000000"/>
                <w:sz w:val="20"/>
                <w:szCs w:val="20"/>
                <w:lang w:val="en-US" w:eastAsia="de-DE"/>
              </w:rPr>
              <w:t>Act 82 (2013). This act classifies femicide and its goals are to ensure women's right to a violence-free life and to protect the rights of women victims of violence, as well as prevent and punish all forms of violence against women.</w:t>
            </w:r>
          </w:p>
        </w:tc>
      </w:tr>
    </w:tbl>
    <w:p w14:paraId="67B61DE1" w14:textId="77777777" w:rsidR="00C9291B" w:rsidRPr="00A203AD" w:rsidRDefault="00C9291B" w:rsidP="00C9291B">
      <w:pPr>
        <w:pStyle w:val="Notes"/>
        <w:spacing w:after="0"/>
        <w:jc w:val="center"/>
        <w:rPr>
          <w:lang w:val="es-MX"/>
        </w:rPr>
      </w:pPr>
      <w:r w:rsidRPr="00102605">
        <w:t>Source</w:t>
      </w:r>
      <w:r>
        <w:t>s</w:t>
      </w:r>
      <w:r w:rsidRPr="00102605">
        <w:t xml:space="preserve">: </w:t>
      </w:r>
      <w:r w:rsidRPr="00F75D64">
        <w:t>National Environmental Information System</w:t>
      </w:r>
      <w:r>
        <w:t xml:space="preserve">, Ministry of Environment. </w:t>
      </w:r>
      <w:hyperlink r:id="rId12" w:history="1">
        <w:r w:rsidRPr="00A203AD">
          <w:rPr>
            <w:rStyle w:val="Hipervnculo"/>
            <w:lang w:val="es-MX"/>
          </w:rPr>
          <w:t>Marco Legal (sinia.gob.pa)</w:t>
        </w:r>
      </w:hyperlink>
      <w:r w:rsidRPr="00A203AD">
        <w:rPr>
          <w:lang w:val="es-MX"/>
        </w:rPr>
        <w:t xml:space="preserve">; </w:t>
      </w:r>
      <w:proofErr w:type="spellStart"/>
      <w:r w:rsidRPr="00A203AD">
        <w:rPr>
          <w:lang w:val="es-MX"/>
        </w:rPr>
        <w:t>The</w:t>
      </w:r>
      <w:proofErr w:type="spellEnd"/>
      <w:r w:rsidRPr="00A203AD">
        <w:rPr>
          <w:lang w:val="es-MX"/>
        </w:rPr>
        <w:t xml:space="preserve"> </w:t>
      </w:r>
      <w:proofErr w:type="spellStart"/>
      <w:r w:rsidRPr="00A203AD">
        <w:rPr>
          <w:lang w:val="es-MX"/>
        </w:rPr>
        <w:t>Environment</w:t>
      </w:r>
      <w:proofErr w:type="spellEnd"/>
      <w:r w:rsidRPr="00A203AD">
        <w:rPr>
          <w:lang w:val="es-MX"/>
        </w:rPr>
        <w:t xml:space="preserve"> and Climate Change </w:t>
      </w:r>
      <w:proofErr w:type="spellStart"/>
      <w:r w:rsidRPr="00A203AD">
        <w:rPr>
          <w:lang w:val="es-MX"/>
        </w:rPr>
        <w:t>Law</w:t>
      </w:r>
      <w:proofErr w:type="spellEnd"/>
      <w:r w:rsidRPr="00A203AD">
        <w:rPr>
          <w:lang w:val="es-MX"/>
        </w:rPr>
        <w:t xml:space="preserve"> </w:t>
      </w:r>
      <w:proofErr w:type="spellStart"/>
      <w:r w:rsidRPr="00A203AD">
        <w:rPr>
          <w:lang w:val="es-MX"/>
        </w:rPr>
        <w:t>Review</w:t>
      </w:r>
      <w:proofErr w:type="spellEnd"/>
      <w:r w:rsidRPr="00A203AD">
        <w:rPr>
          <w:lang w:val="es-MX"/>
        </w:rPr>
        <w:t xml:space="preserve">: </w:t>
      </w:r>
      <w:proofErr w:type="spellStart"/>
      <w:r w:rsidRPr="00A203AD">
        <w:rPr>
          <w:lang w:val="es-MX"/>
        </w:rPr>
        <w:t>Panama</w:t>
      </w:r>
      <w:proofErr w:type="spellEnd"/>
      <w:r w:rsidRPr="00A203AD">
        <w:rPr>
          <w:lang w:val="es-MX"/>
        </w:rPr>
        <w:t xml:space="preserve">, Sofía J Cohen and Ana M Torres, 2022, </w:t>
      </w:r>
      <w:hyperlink r:id="rId13" w:history="1">
        <w:r w:rsidRPr="00A203AD">
          <w:rPr>
            <w:rStyle w:val="Hipervnculo"/>
            <w:lang w:val="es-MX"/>
          </w:rPr>
          <w:t>https://thelawreviews.co.uk/title/the-environment-and-climate-change-law-review/panama</w:t>
        </w:r>
      </w:hyperlink>
      <w:r w:rsidRPr="00A203AD">
        <w:rPr>
          <w:rStyle w:val="Hipervnculo"/>
          <w:lang w:val="es-MX"/>
        </w:rPr>
        <w:t xml:space="preserve">; </w:t>
      </w:r>
      <w:hyperlink r:id="rId14" w:history="1">
        <w:r w:rsidRPr="00A203AD">
          <w:rPr>
            <w:rStyle w:val="Hipervnculo"/>
            <w:lang w:val="es-MX"/>
          </w:rPr>
          <w:t xml:space="preserve">Marco Legal Latinoamérica: República de Panamá – </w:t>
        </w:r>
        <w:proofErr w:type="spellStart"/>
        <w:r w:rsidRPr="00A203AD">
          <w:rPr>
            <w:rStyle w:val="Hipervnculo"/>
            <w:lang w:val="es-MX"/>
          </w:rPr>
          <w:t>Estrucplan</w:t>
        </w:r>
        <w:proofErr w:type="spellEnd"/>
      </w:hyperlink>
      <w:r w:rsidRPr="00A203AD">
        <w:rPr>
          <w:lang w:val="es-MX"/>
        </w:rPr>
        <w:t xml:space="preserve">; </w:t>
      </w:r>
      <w:hyperlink r:id="rId15" w:history="1">
        <w:r w:rsidRPr="00A203AD">
          <w:rPr>
            <w:rStyle w:val="Hipervnculo"/>
            <w:lang w:val="es-MX"/>
          </w:rPr>
          <w:t xml:space="preserve">Paraguay | </w:t>
        </w:r>
        <w:proofErr w:type="spellStart"/>
        <w:r w:rsidRPr="00A203AD">
          <w:rPr>
            <w:rStyle w:val="Hipervnculo"/>
            <w:lang w:val="es-MX"/>
          </w:rPr>
          <w:t>Gender</w:t>
        </w:r>
        <w:proofErr w:type="spellEnd"/>
        <w:r w:rsidRPr="00A203AD">
          <w:rPr>
            <w:rStyle w:val="Hipervnculo"/>
            <w:lang w:val="es-MX"/>
          </w:rPr>
          <w:t xml:space="preserve"> in </w:t>
        </w:r>
        <w:proofErr w:type="spellStart"/>
        <w:r w:rsidRPr="00A203AD">
          <w:rPr>
            <w:rStyle w:val="Hipervnculo"/>
            <w:lang w:val="es-MX"/>
          </w:rPr>
          <w:t>Infrastructure</w:t>
        </w:r>
        <w:proofErr w:type="spellEnd"/>
        <w:r w:rsidRPr="00A203AD">
          <w:rPr>
            <w:rStyle w:val="Hipervnculo"/>
            <w:lang w:val="es-MX"/>
          </w:rPr>
          <w:t xml:space="preserve"> (iadb.org)</w:t>
        </w:r>
      </w:hyperlink>
      <w:r w:rsidRPr="00A203AD">
        <w:rPr>
          <w:lang w:val="es-MX"/>
        </w:rPr>
        <w:t xml:space="preserve">; </w:t>
      </w:r>
      <w:hyperlink r:id="rId16" w:history="1">
        <w:r w:rsidRPr="00A203AD">
          <w:rPr>
            <w:rStyle w:val="Hipervnculo"/>
            <w:lang w:val="es-MX"/>
          </w:rPr>
          <w:t>Leyes de Género (utp.ac.pa)</w:t>
        </w:r>
      </w:hyperlink>
    </w:p>
    <w:p w14:paraId="4BE2DD8E" w14:textId="77777777" w:rsidR="00B20F21" w:rsidRPr="00C9291B" w:rsidRDefault="00B20F21" w:rsidP="00D07B6F">
      <w:pPr>
        <w:pStyle w:val="Notes"/>
        <w:spacing w:after="0"/>
        <w:jc w:val="center"/>
        <w:rPr>
          <w:lang w:val="es-MX"/>
        </w:rPr>
      </w:pPr>
    </w:p>
    <w:p w14:paraId="3EB63EDC" w14:textId="6B04E61F" w:rsidR="00A62EAD" w:rsidRPr="00102605" w:rsidRDefault="00A62EAD" w:rsidP="00D07B6F">
      <w:pPr>
        <w:spacing w:after="0" w:line="240" w:lineRule="auto"/>
      </w:pPr>
      <w:r w:rsidRPr="00102605">
        <w:t xml:space="preserve">The Ministry of Environment is the entity that is nationally responsible for the control, </w:t>
      </w:r>
      <w:r w:rsidR="00102605" w:rsidRPr="00102605">
        <w:t>supervision,</w:t>
      </w:r>
      <w:r w:rsidRPr="00102605">
        <w:t xml:space="preserve"> and general overview of the protection of the environment</w:t>
      </w:r>
      <w:r w:rsidR="004B0090" w:rsidRPr="00102605">
        <w:rPr>
          <w:rStyle w:val="Refdenotaalpie"/>
        </w:rPr>
        <w:footnoteReference w:id="10"/>
      </w:r>
      <w:r w:rsidRPr="00102605">
        <w:t xml:space="preserve">. As such, the ministry is responsible for developing national environmental and natural resource </w:t>
      </w:r>
      <w:r w:rsidR="003F3E30" w:rsidRPr="00102605">
        <w:t>policies,</w:t>
      </w:r>
      <w:r w:rsidRPr="00102605">
        <w:t xml:space="preserve"> issuing rules and resolutions for the implementation of these policies, and evaluating Environmental Impact Studies (EIS). </w:t>
      </w:r>
      <w:r w:rsidR="00842644" w:rsidRPr="00102605">
        <w:t>There is no integrated environmental permitting regime. Activities and projects (whether private or public) that may create environmental risks must undergo an EIS prior to the start of the project. The permits or authorisations shall be relative to the activities of each project, and it is necessary to have an EIS to comply with Law No. 8 and the previous environmental laws</w:t>
      </w:r>
      <w:r w:rsidR="004B0090" w:rsidRPr="00102605">
        <w:rPr>
          <w:rStyle w:val="Refdenotaalpie"/>
        </w:rPr>
        <w:footnoteReference w:id="11"/>
      </w:r>
      <w:r w:rsidR="00842644" w:rsidRPr="00102605">
        <w:t>.</w:t>
      </w:r>
    </w:p>
    <w:p w14:paraId="13B41616" w14:textId="77777777" w:rsidR="007330EC" w:rsidRPr="00102605" w:rsidRDefault="007330EC" w:rsidP="00D07B6F">
      <w:pPr>
        <w:spacing w:after="0" w:line="240" w:lineRule="auto"/>
      </w:pPr>
    </w:p>
    <w:p w14:paraId="2876DAAD" w14:textId="77777777" w:rsidR="006029C5" w:rsidRPr="00102605" w:rsidRDefault="006029C5" w:rsidP="00D07B6F">
      <w:pPr>
        <w:spacing w:after="0" w:line="240" w:lineRule="auto"/>
        <w:rPr>
          <w:b/>
          <w:bCs/>
        </w:rPr>
      </w:pPr>
      <w:r w:rsidRPr="00102605">
        <w:rPr>
          <w:b/>
          <w:bCs/>
        </w:rPr>
        <w:t>Transport Sector</w:t>
      </w:r>
    </w:p>
    <w:p w14:paraId="72AFD8EA" w14:textId="7F16FC0E" w:rsidR="006029C5" w:rsidRDefault="006029C5" w:rsidP="00D07B6F">
      <w:pPr>
        <w:spacing w:after="0" w:line="240" w:lineRule="auto"/>
      </w:pPr>
      <w:r w:rsidRPr="00102605">
        <w:t>Panamá has a vehicle fleet of about 1.3 million units (2019). Road transport GHG emissions (tank to wheel) in Panamá are estimated at 5.43 million tCO</w:t>
      </w:r>
      <w:r w:rsidRPr="00102605">
        <w:rPr>
          <w:vertAlign w:val="subscript"/>
        </w:rPr>
        <w:t>2</w:t>
      </w:r>
      <w:r w:rsidRPr="00102605">
        <w:t>eq in 2019. Commercial vehicles including taxis, buses and LCVs are responsible for 46% of GHG emissions. Trucks and LCVs comprise around 40% of NOx, PM2.5 and BC emissions, yet trucks and LCVs are only 21% of the total vehicle stock. This result is due to being the main consumer of diesel in the transport sector. GHG emission from the transport sector are expected to grow under a BAU scenario by around 31% reaching 7.1 million tCO</w:t>
      </w:r>
      <w:r w:rsidRPr="00102605">
        <w:rPr>
          <w:vertAlign w:val="subscript"/>
        </w:rPr>
        <w:t>2</w:t>
      </w:r>
      <w:r w:rsidRPr="00102605">
        <w:t xml:space="preserve">eq by 2030. The deployment of electromobility in Panama is generally on a pilot scale. Charging infrastructure is mainly supported by private companies, such as ENSA, Celsia Panama, Bavarian Motors and Ciudad del </w:t>
      </w:r>
      <w:proofErr w:type="spellStart"/>
      <w:r w:rsidRPr="00102605">
        <w:t>Saber</w:t>
      </w:r>
      <w:proofErr w:type="spellEnd"/>
      <w:r w:rsidRPr="00102605">
        <w:t>.</w:t>
      </w:r>
    </w:p>
    <w:p w14:paraId="2FD09388" w14:textId="77777777" w:rsidR="00D07B6F" w:rsidRDefault="00D07B6F" w:rsidP="00D07B6F">
      <w:pPr>
        <w:spacing w:after="0" w:line="240" w:lineRule="auto"/>
      </w:pPr>
    </w:p>
    <w:p w14:paraId="23495D92" w14:textId="77777777" w:rsidR="006029C5" w:rsidRPr="00102605" w:rsidRDefault="006029C5" w:rsidP="00D07B6F">
      <w:pPr>
        <w:spacing w:after="0" w:line="240" w:lineRule="auto"/>
        <w:rPr>
          <w:b/>
          <w:bCs/>
        </w:rPr>
      </w:pPr>
      <w:r w:rsidRPr="00102605">
        <w:rPr>
          <w:b/>
          <w:bCs/>
        </w:rPr>
        <w:t>Climate and Energy Policies</w:t>
      </w:r>
    </w:p>
    <w:p w14:paraId="509780CE" w14:textId="7FA6328C" w:rsidR="006029C5" w:rsidRDefault="006029C5" w:rsidP="00D07B6F">
      <w:pPr>
        <w:spacing w:after="0" w:line="240" w:lineRule="auto"/>
      </w:pPr>
      <w:r w:rsidRPr="00102605">
        <w:t>According to Climate Watch data, total emissions in Panamá in 2018 were 34.39 million tCO</w:t>
      </w:r>
      <w:r w:rsidRPr="00102605">
        <w:rPr>
          <w:vertAlign w:val="subscript"/>
        </w:rPr>
        <w:t>2</w:t>
      </w:r>
      <w:r w:rsidRPr="00102605">
        <w:t>eq. In its NDC the country commits to reducing energy sector emissions by at least 11.5% by 2030 and at least 24% by 2050 compared to the baseline, representing up to 10 million tCO2eq during 2022-2030 and 60 million tCO2eq during 2022-</w:t>
      </w:r>
      <w:r w:rsidR="00337744" w:rsidRPr="00102605">
        <w:t>20</w:t>
      </w:r>
      <w:r w:rsidR="00337744">
        <w:t>50</w:t>
      </w:r>
      <w:r w:rsidRPr="00102605">
        <w:t>. Transportation accounts for about half of the energy sector’s emissions and represents the biggest challenge.</w:t>
      </w:r>
    </w:p>
    <w:p w14:paraId="17B9ADA2" w14:textId="77777777" w:rsidR="00D07B6F" w:rsidRDefault="00D07B6F" w:rsidP="00D07B6F">
      <w:pPr>
        <w:spacing w:after="0" w:line="240" w:lineRule="auto"/>
      </w:pPr>
    </w:p>
    <w:p w14:paraId="604D6010" w14:textId="56A8E96B" w:rsidR="007D4B5C" w:rsidRDefault="007D4B5C" w:rsidP="00D07B6F">
      <w:pPr>
        <w:spacing w:after="0" w:line="240" w:lineRule="auto"/>
      </w:pPr>
      <w:r w:rsidRPr="00AF3D27">
        <w:t xml:space="preserve">In 2019, the government approved the National Climate Change Strategy 2050, which creates an action plan to promote the use of low-carbon fuels, increase alternative energy investment, integrate multi-modal transport </w:t>
      </w:r>
      <w:proofErr w:type="gramStart"/>
      <w:r w:rsidRPr="00AF3D27">
        <w:t>systems</w:t>
      </w:r>
      <w:proofErr w:type="gramEnd"/>
      <w:r w:rsidRPr="00AF3D27">
        <w:t xml:space="preserve"> and secure the protection and restoration of coastal areas, hydric reloading areas, protected areas, buffer zones and biological corridors</w:t>
      </w:r>
      <w:r>
        <w:t xml:space="preserve">. </w:t>
      </w:r>
      <w:r w:rsidRPr="00AF3D27">
        <w:t>The National Climate Change Strategy will be executed by the Ministry of Environment through the Climate Change division and will be valid until the year 2050. However, every five years, the strategy will be evaluated and adapted</w:t>
      </w:r>
      <w:r>
        <w:t>.</w:t>
      </w:r>
    </w:p>
    <w:p w14:paraId="290F8324" w14:textId="77777777" w:rsidR="005B0ABE" w:rsidRDefault="005B0ABE" w:rsidP="00D07B6F">
      <w:pPr>
        <w:spacing w:after="0" w:line="240" w:lineRule="auto"/>
      </w:pPr>
    </w:p>
    <w:p w14:paraId="5F3545B6" w14:textId="124807FC" w:rsidR="006029C5" w:rsidRDefault="006029C5" w:rsidP="00D07B6F">
      <w:pPr>
        <w:spacing w:after="0" w:line="240" w:lineRule="auto"/>
      </w:pPr>
      <w:r w:rsidRPr="00102605">
        <w:t>Panamá’s national government aims to reduce greenhouse gas emissions from the transport sector,</w:t>
      </w:r>
      <w:r w:rsidR="00C367D7" w:rsidRPr="00C367D7">
        <w:t xml:space="preserve"> </w:t>
      </w:r>
      <w:r w:rsidR="00C367D7">
        <w:t>which represents 57% of the emissions of the emissions of the Energy sector</w:t>
      </w:r>
      <w:r w:rsidR="00C367D7">
        <w:rPr>
          <w:rStyle w:val="Refdenotaalpie"/>
        </w:rPr>
        <w:footnoteReference w:id="12"/>
      </w:r>
      <w:r w:rsidR="000D4786">
        <w:t>,</w:t>
      </w:r>
      <w:r w:rsidRPr="00102605">
        <w:t xml:space="preserve"> hence different departments promote sustainable mobility and alternative means of transport. The National Strategy for Electric Mobility (ENME)</w:t>
      </w:r>
      <w:r w:rsidR="00D00E00">
        <w:rPr>
          <w:rStyle w:val="Refdenotaalpie"/>
        </w:rPr>
        <w:footnoteReference w:id="13"/>
      </w:r>
      <w:r w:rsidRPr="00102605">
        <w:t xml:space="preserve"> was approved in 2019, promoting four objectives until 2030: 10-20% of the total fleet of private vehicles will be electric; 25-40% of private vehicle sales will be electric vehicle sales; 15-35% of the buses in the authorized concession fleets will be electric; 25-50% of the public fleets will be made up of electric vehicles.</w:t>
      </w:r>
      <w:r w:rsidR="006F49C1" w:rsidRPr="00102605">
        <w:t xml:space="preserve"> Panama’s updated NDC focuses mainly on mitigating emissions from the land use change sector and the energy sector, of which transportation accounts for about half of the sector’s emissions and represents the biggest challenge.</w:t>
      </w:r>
    </w:p>
    <w:p w14:paraId="3E2303CF" w14:textId="77777777" w:rsidR="00D07B6F" w:rsidRPr="00102605" w:rsidRDefault="00D07B6F" w:rsidP="00D07B6F">
      <w:pPr>
        <w:spacing w:after="0" w:line="240" w:lineRule="auto"/>
      </w:pPr>
    </w:p>
    <w:p w14:paraId="19C04005" w14:textId="6055E434" w:rsidR="006029C5" w:rsidRDefault="006029C5" w:rsidP="00D07B6F">
      <w:pPr>
        <w:spacing w:after="0" w:line="240" w:lineRule="auto"/>
      </w:pPr>
      <w:r w:rsidRPr="00102605">
        <w:t xml:space="preserve">Hydroelectric power plants represent around 44% of total installed capacity (1.776 MW in January 2020), thermal power plants and ACP 45% (mix of hydro, diesel, bunker, </w:t>
      </w:r>
      <w:proofErr w:type="gramStart"/>
      <w:r w:rsidRPr="00102605">
        <w:t>LNG</w:t>
      </w:r>
      <w:proofErr w:type="gramEnd"/>
      <w:r w:rsidRPr="00102605">
        <w:t xml:space="preserve"> and coal), wind with 7% and solar with the remaining 4%. The carbon grid factor is 0.</w:t>
      </w:r>
      <w:r w:rsidR="001F187D" w:rsidRPr="00102605">
        <w:t xml:space="preserve">23 </w:t>
      </w:r>
      <w:r w:rsidRPr="00102605">
        <w:t>tCO</w:t>
      </w:r>
      <w:r w:rsidRPr="00102605">
        <w:rPr>
          <w:vertAlign w:val="subscript"/>
        </w:rPr>
        <w:t>2</w:t>
      </w:r>
      <w:r w:rsidRPr="00102605">
        <w:t xml:space="preserve">/MWh. </w:t>
      </w:r>
    </w:p>
    <w:p w14:paraId="5A208E15" w14:textId="77777777" w:rsidR="00D07B6F" w:rsidRDefault="00D07B6F" w:rsidP="00D07B6F">
      <w:pPr>
        <w:spacing w:after="0" w:line="240" w:lineRule="auto"/>
      </w:pPr>
    </w:p>
    <w:p w14:paraId="5261D3F2" w14:textId="77777777" w:rsidR="006B2594" w:rsidRDefault="006B2594" w:rsidP="006B2594">
      <w:pPr>
        <w:spacing w:after="0" w:line="240" w:lineRule="auto"/>
        <w:rPr>
          <w:b/>
          <w:bCs/>
        </w:rPr>
      </w:pPr>
      <w:r w:rsidRPr="00126D0B">
        <w:rPr>
          <w:b/>
          <w:bCs/>
        </w:rPr>
        <w:t>The guarantees</w:t>
      </w:r>
      <w:r>
        <w:rPr>
          <w:b/>
          <w:bCs/>
        </w:rPr>
        <w:t xml:space="preserve"> of</w:t>
      </w:r>
      <w:r w:rsidRPr="00126D0B">
        <w:rPr>
          <w:b/>
          <w:bCs/>
        </w:rPr>
        <w:t xml:space="preserve"> indigenous </w:t>
      </w:r>
      <w:r>
        <w:rPr>
          <w:b/>
          <w:bCs/>
        </w:rPr>
        <w:t xml:space="preserve">people </w:t>
      </w:r>
      <w:r w:rsidRPr="00126D0B">
        <w:rPr>
          <w:b/>
          <w:bCs/>
        </w:rPr>
        <w:t>rights</w:t>
      </w:r>
      <w:r>
        <w:rPr>
          <w:b/>
          <w:bCs/>
        </w:rPr>
        <w:t xml:space="preserve"> </w:t>
      </w:r>
    </w:p>
    <w:p w14:paraId="0E0CC881" w14:textId="77777777" w:rsidR="006B2594" w:rsidRDefault="006B2594" w:rsidP="006B2594">
      <w:pPr>
        <w:spacing w:after="0" w:line="240" w:lineRule="auto"/>
        <w:rPr>
          <w:lang w:val="en-US"/>
        </w:rPr>
      </w:pPr>
      <w:r w:rsidRPr="00A203AD">
        <w:rPr>
          <w:lang w:val="en-US"/>
        </w:rPr>
        <w:t>According to the 2010 census, in the Republic of Panama there are 417,559 indigenous people, equivalent to 12% of the population</w:t>
      </w:r>
      <w:r>
        <w:rPr>
          <w:lang w:val="en-US"/>
        </w:rPr>
        <w:t>.</w:t>
      </w:r>
      <w:r>
        <w:rPr>
          <w:rStyle w:val="Refdenotaalpie"/>
          <w:lang w:val="en-US"/>
        </w:rPr>
        <w:footnoteReference w:id="14"/>
      </w:r>
      <w:r>
        <w:rPr>
          <w:lang w:val="en-US"/>
        </w:rPr>
        <w:t xml:space="preserve"> </w:t>
      </w:r>
    </w:p>
    <w:p w14:paraId="1B74AB52" w14:textId="77777777" w:rsidR="006B2594" w:rsidRDefault="006B2594" w:rsidP="006B2594">
      <w:pPr>
        <w:spacing w:after="0" w:line="240" w:lineRule="auto"/>
        <w:rPr>
          <w:lang w:val="en-US"/>
        </w:rPr>
      </w:pPr>
    </w:p>
    <w:p w14:paraId="65DD33F1" w14:textId="77777777" w:rsidR="006B2594" w:rsidRDefault="006B2594" w:rsidP="006B2594">
      <w:pPr>
        <w:spacing w:after="0" w:line="240" w:lineRule="auto"/>
        <w:rPr>
          <w:lang w:val="en-US"/>
        </w:rPr>
      </w:pPr>
      <w:r>
        <w:rPr>
          <w:lang w:val="en-US"/>
        </w:rPr>
        <w:t>I</w:t>
      </w:r>
      <w:r w:rsidRPr="00A203AD">
        <w:rPr>
          <w:lang w:val="en-US"/>
        </w:rPr>
        <w:t xml:space="preserve">ndigenous </w:t>
      </w:r>
      <w:r w:rsidRPr="004E2726">
        <w:rPr>
          <w:lang w:val="en-US"/>
        </w:rPr>
        <w:t>peoples’</w:t>
      </w:r>
      <w:r>
        <w:rPr>
          <w:lang w:val="en-US"/>
        </w:rPr>
        <w:t xml:space="preserve"> rights are </w:t>
      </w:r>
      <w:r w:rsidRPr="00A203AD">
        <w:rPr>
          <w:lang w:val="en-US"/>
        </w:rPr>
        <w:t>guaranteed in 4 main normative instruments</w:t>
      </w:r>
      <w:r>
        <w:rPr>
          <w:rStyle w:val="Refdenotaalpie"/>
          <w:lang w:val="en-US"/>
        </w:rPr>
        <w:footnoteReference w:id="15"/>
      </w:r>
      <w:r w:rsidRPr="00A203AD">
        <w:rPr>
          <w:lang w:val="en-US"/>
        </w:rPr>
        <w:t xml:space="preserve">: </w:t>
      </w:r>
    </w:p>
    <w:p w14:paraId="1F9AD0F6" w14:textId="77777777" w:rsidR="006B2594" w:rsidRDefault="006B2594" w:rsidP="006B2594">
      <w:pPr>
        <w:spacing w:after="0" w:line="240" w:lineRule="auto"/>
        <w:rPr>
          <w:lang w:val="en-US"/>
        </w:rPr>
      </w:pPr>
    </w:p>
    <w:p w14:paraId="721E8581" w14:textId="77777777" w:rsidR="006B2594" w:rsidRPr="00035EEA" w:rsidRDefault="006B2594" w:rsidP="006B2594">
      <w:pPr>
        <w:pStyle w:val="Prrafodelista"/>
        <w:numPr>
          <w:ilvl w:val="0"/>
          <w:numId w:val="70"/>
        </w:numPr>
        <w:spacing w:after="0" w:line="240" w:lineRule="auto"/>
        <w:ind w:left="426" w:hanging="426"/>
        <w:rPr>
          <w:lang w:val="en-US"/>
        </w:rPr>
      </w:pPr>
      <w:r w:rsidRPr="00A203AD">
        <w:rPr>
          <w:lang w:val="en-US"/>
        </w:rPr>
        <w:t>the Political Constitution of the Republic.</w:t>
      </w:r>
      <w:r w:rsidRPr="006C2844">
        <w:rPr>
          <w:lang w:val="en-US"/>
        </w:rPr>
        <w:t xml:space="preserve"> </w:t>
      </w:r>
      <w:r w:rsidRPr="004E2726">
        <w:rPr>
          <w:lang w:val="en-US"/>
        </w:rPr>
        <w:t>In its Title III</w:t>
      </w:r>
      <w:r w:rsidRPr="00A203AD">
        <w:rPr>
          <w:lang w:val="en-US"/>
        </w:rPr>
        <w:t xml:space="preserve"> it</w:t>
      </w:r>
      <w:r w:rsidRPr="004E2726">
        <w:rPr>
          <w:lang w:val="en-US"/>
        </w:rPr>
        <w:t xml:space="preserve"> establishes Individual and Social Rights and Duties, in relation to indigenous peoples. </w:t>
      </w:r>
      <w:r w:rsidRPr="00A203AD">
        <w:rPr>
          <w:lang w:val="en-US"/>
        </w:rPr>
        <w:t xml:space="preserve">Furthermore, it establishes special attention to indigenous communities for the promotion of their economic participation, as well as a special regime of collective land </w:t>
      </w:r>
      <w:proofErr w:type="gramStart"/>
      <w:r w:rsidRPr="00A203AD">
        <w:rPr>
          <w:lang w:val="en-US"/>
        </w:rPr>
        <w:t>ownership</w:t>
      </w:r>
      <w:r>
        <w:rPr>
          <w:lang w:val="en-US"/>
        </w:rPr>
        <w:t>;</w:t>
      </w:r>
      <w:proofErr w:type="gramEnd"/>
      <w:r w:rsidRPr="00A203AD">
        <w:rPr>
          <w:lang w:val="en-US"/>
        </w:rPr>
        <w:t xml:space="preserve"> </w:t>
      </w:r>
    </w:p>
    <w:p w14:paraId="17F4A7B7" w14:textId="77777777" w:rsidR="006B2594" w:rsidRDefault="006B2594" w:rsidP="006B2594">
      <w:pPr>
        <w:pStyle w:val="Prrafodelista"/>
        <w:numPr>
          <w:ilvl w:val="0"/>
          <w:numId w:val="70"/>
        </w:numPr>
        <w:spacing w:after="0" w:line="240" w:lineRule="auto"/>
        <w:ind w:left="426" w:hanging="426"/>
        <w:rPr>
          <w:lang w:val="en-US"/>
        </w:rPr>
      </w:pPr>
      <w:r w:rsidRPr="00A203AD">
        <w:rPr>
          <w:lang w:val="en-US"/>
        </w:rPr>
        <w:t>the ILO Convention 107</w:t>
      </w:r>
      <w:r>
        <w:rPr>
          <w:lang w:val="en-US"/>
        </w:rPr>
        <w:t xml:space="preserve">. It </w:t>
      </w:r>
      <w:r w:rsidRPr="006C2844">
        <w:rPr>
          <w:lang w:val="en-US"/>
        </w:rPr>
        <w:t xml:space="preserve">recommends that governments take responsibility for making adequate health services available to indigenous populations and organize these services based on the "systematic study of the social, economic and cultural conditions of the </w:t>
      </w:r>
      <w:r>
        <w:rPr>
          <w:lang w:val="en-US"/>
        </w:rPr>
        <w:t>p</w:t>
      </w:r>
      <w:r w:rsidRPr="006C2844">
        <w:rPr>
          <w:lang w:val="en-US"/>
        </w:rPr>
        <w:t>opulations</w:t>
      </w:r>
      <w:r>
        <w:rPr>
          <w:lang w:val="en-US"/>
        </w:rPr>
        <w:t xml:space="preserve"> </w:t>
      </w:r>
      <w:r w:rsidRPr="006C2844">
        <w:rPr>
          <w:lang w:val="en-US"/>
        </w:rPr>
        <w:t>concerned</w:t>
      </w:r>
      <w:proofErr w:type="gramStart"/>
      <w:r w:rsidRPr="006C2844">
        <w:rPr>
          <w:lang w:val="en-US"/>
        </w:rPr>
        <w:t>"</w:t>
      </w:r>
      <w:r>
        <w:rPr>
          <w:lang w:val="en-US"/>
        </w:rPr>
        <w:t>;</w:t>
      </w:r>
      <w:proofErr w:type="gramEnd"/>
      <w:r>
        <w:rPr>
          <w:lang w:val="en-US"/>
        </w:rPr>
        <w:t xml:space="preserve"> </w:t>
      </w:r>
    </w:p>
    <w:p w14:paraId="1FD2E914" w14:textId="77777777" w:rsidR="006B2594" w:rsidRDefault="006B2594" w:rsidP="006B2594">
      <w:pPr>
        <w:pStyle w:val="Prrafodelista"/>
        <w:numPr>
          <w:ilvl w:val="0"/>
          <w:numId w:val="70"/>
        </w:numPr>
        <w:spacing w:after="0" w:line="240" w:lineRule="auto"/>
        <w:ind w:left="426" w:hanging="426"/>
        <w:rPr>
          <w:lang w:val="en-US"/>
        </w:rPr>
      </w:pPr>
      <w:r w:rsidRPr="00A203AD">
        <w:rPr>
          <w:lang w:val="en-US"/>
        </w:rPr>
        <w:t>the General Law of the Environment</w:t>
      </w:r>
      <w:r>
        <w:rPr>
          <w:lang w:val="en-US"/>
        </w:rPr>
        <w:t xml:space="preserve"> </w:t>
      </w:r>
      <w:r w:rsidRPr="00794F9A">
        <w:rPr>
          <w:lang w:val="en-US"/>
        </w:rPr>
        <w:t xml:space="preserve">indicates that "In the case of activities aimed at the use of natural resources on the lands of regions or indigenous peoples, they will be entitled to a share of the economic benefits that may arise, when said benefits are not contemplated in current laws”. </w:t>
      </w:r>
    </w:p>
    <w:p w14:paraId="794476AF" w14:textId="5929D2B3" w:rsidR="006B2594" w:rsidRDefault="006B2594" w:rsidP="006B2594">
      <w:pPr>
        <w:pStyle w:val="Prrafodelista"/>
        <w:numPr>
          <w:ilvl w:val="0"/>
          <w:numId w:val="70"/>
        </w:numPr>
        <w:spacing w:after="0" w:line="240" w:lineRule="auto"/>
        <w:ind w:left="426" w:hanging="426"/>
        <w:rPr>
          <w:lang w:val="en-US"/>
        </w:rPr>
      </w:pPr>
      <w:r w:rsidRPr="009819E0">
        <w:rPr>
          <w:lang w:val="en-US"/>
        </w:rPr>
        <w:t xml:space="preserve">Special laws that have allowed the creation of 5 Indigenous Comarcas (Kuna </w:t>
      </w:r>
      <w:proofErr w:type="spellStart"/>
      <w:r w:rsidRPr="009819E0">
        <w:rPr>
          <w:lang w:val="en-US"/>
        </w:rPr>
        <w:t>Yala</w:t>
      </w:r>
      <w:proofErr w:type="spellEnd"/>
      <w:r w:rsidRPr="009819E0">
        <w:rPr>
          <w:lang w:val="en-US"/>
        </w:rPr>
        <w:t xml:space="preserve">, Kuna de </w:t>
      </w:r>
      <w:proofErr w:type="spellStart"/>
      <w:r w:rsidRPr="009819E0">
        <w:rPr>
          <w:lang w:val="en-US"/>
        </w:rPr>
        <w:t>Madugandí</w:t>
      </w:r>
      <w:proofErr w:type="spellEnd"/>
      <w:r w:rsidRPr="009819E0">
        <w:rPr>
          <w:lang w:val="en-US"/>
        </w:rPr>
        <w:t xml:space="preserve">, Kuna de </w:t>
      </w:r>
      <w:proofErr w:type="spellStart"/>
      <w:r w:rsidRPr="009819E0">
        <w:rPr>
          <w:lang w:val="en-US"/>
        </w:rPr>
        <w:t>Wargandí</w:t>
      </w:r>
      <w:proofErr w:type="spellEnd"/>
      <w:r w:rsidRPr="009819E0">
        <w:rPr>
          <w:lang w:val="en-US"/>
        </w:rPr>
        <w:t xml:space="preserve">, </w:t>
      </w:r>
      <w:proofErr w:type="spellStart"/>
      <w:r w:rsidRPr="009819E0">
        <w:rPr>
          <w:lang w:val="en-US"/>
        </w:rPr>
        <w:t>Emberá</w:t>
      </w:r>
      <w:proofErr w:type="spellEnd"/>
      <w:r w:rsidRPr="009819E0">
        <w:rPr>
          <w:lang w:val="en-US"/>
        </w:rPr>
        <w:t xml:space="preserve"> – </w:t>
      </w:r>
      <w:proofErr w:type="spellStart"/>
      <w:r w:rsidRPr="009819E0">
        <w:rPr>
          <w:lang w:val="en-US"/>
        </w:rPr>
        <w:t>Wounaan</w:t>
      </w:r>
      <w:proofErr w:type="spellEnd"/>
      <w:r w:rsidRPr="009819E0">
        <w:rPr>
          <w:lang w:val="en-US"/>
        </w:rPr>
        <w:t xml:space="preserve">, and </w:t>
      </w:r>
      <w:proofErr w:type="spellStart"/>
      <w:r w:rsidRPr="009819E0">
        <w:rPr>
          <w:lang w:val="en-US"/>
        </w:rPr>
        <w:t>Ngäbe</w:t>
      </w:r>
      <w:proofErr w:type="spellEnd"/>
      <w:r w:rsidRPr="009819E0">
        <w:rPr>
          <w:lang w:val="en-US"/>
        </w:rPr>
        <w:t xml:space="preserve"> – Bugle), located in 6 provinces (Bocas del Toro, Chiriquí, Veraguas, Panama, Colon and Darién). These laws are the main legal instruments that promote the participation of indigenous peoples in Panama. In general terms, the regional laws recognize the right to autonomy and self-management of the indigenous peoples, in permanent and harmonious collaboration with the government entities established in the regions, seeking to maintain the form and worldview of cultural life and the balance of the environment and the biodiversity in which these peoples develop</w:t>
      </w:r>
      <w:r>
        <w:rPr>
          <w:lang w:val="en-US"/>
        </w:rPr>
        <w:t>.</w:t>
      </w:r>
    </w:p>
    <w:p w14:paraId="3484FA77" w14:textId="7EAEA288" w:rsidR="00D76B9B" w:rsidRDefault="00D76B9B" w:rsidP="00D76B9B">
      <w:pPr>
        <w:pStyle w:val="Prrafodelista"/>
        <w:spacing w:after="0" w:line="240" w:lineRule="auto"/>
        <w:ind w:left="426"/>
        <w:rPr>
          <w:lang w:val="en-US"/>
        </w:rPr>
      </w:pPr>
    </w:p>
    <w:p w14:paraId="0C9E3CF6" w14:textId="77777777" w:rsidR="00D76B9B" w:rsidRPr="009819E0" w:rsidRDefault="00D76B9B" w:rsidP="005B0ABE">
      <w:pPr>
        <w:pStyle w:val="Prrafodelista"/>
        <w:spacing w:after="0" w:line="240" w:lineRule="auto"/>
        <w:ind w:left="426"/>
        <w:rPr>
          <w:lang w:val="en-US"/>
        </w:rPr>
      </w:pPr>
    </w:p>
    <w:p w14:paraId="56F40242" w14:textId="1BEDA20C" w:rsidR="006029C5" w:rsidRPr="00102605" w:rsidRDefault="006029C5" w:rsidP="00D07B6F">
      <w:pPr>
        <w:pStyle w:val="Ttulo1"/>
        <w:numPr>
          <w:ilvl w:val="2"/>
          <w:numId w:val="1"/>
        </w:numPr>
        <w:spacing w:before="0" w:after="0" w:line="240" w:lineRule="auto"/>
      </w:pPr>
      <w:bookmarkStart w:id="14" w:name="_Toc114152208"/>
      <w:r w:rsidRPr="00102605">
        <w:t>Paraguay</w:t>
      </w:r>
      <w:bookmarkEnd w:id="14"/>
    </w:p>
    <w:p w14:paraId="01FC1C00" w14:textId="77777777" w:rsidR="00621E65" w:rsidRDefault="00621E65" w:rsidP="00D07B6F">
      <w:pPr>
        <w:spacing w:after="0" w:line="240" w:lineRule="auto"/>
      </w:pPr>
    </w:p>
    <w:p w14:paraId="5BE33D86" w14:textId="70DA4E56" w:rsidR="00F72D7A" w:rsidRDefault="006029C5" w:rsidP="00D07B6F">
      <w:pPr>
        <w:spacing w:after="0" w:line="240" w:lineRule="auto"/>
      </w:pPr>
      <w:r w:rsidRPr="00102605">
        <w:t>Paraguay has an area of 397.300 km</w:t>
      </w:r>
      <w:r w:rsidRPr="00102605">
        <w:rPr>
          <w:vertAlign w:val="superscript"/>
        </w:rPr>
        <w:t>2</w:t>
      </w:r>
      <w:r w:rsidRPr="00102605">
        <w:t xml:space="preserve"> and about 7.3 million inhabitants. In 2019, the GDP per capita was 3,900 USD.</w:t>
      </w:r>
    </w:p>
    <w:p w14:paraId="46E9E4B2" w14:textId="77777777" w:rsidR="00621E65" w:rsidRDefault="00621E65" w:rsidP="00D07B6F">
      <w:pPr>
        <w:spacing w:after="0" w:line="240" w:lineRule="auto"/>
      </w:pPr>
    </w:p>
    <w:p w14:paraId="073F9D9B" w14:textId="33D8696C" w:rsidR="00FE1A98" w:rsidRDefault="00FE1A98" w:rsidP="00D07B6F">
      <w:pPr>
        <w:spacing w:after="0" w:line="240" w:lineRule="auto"/>
        <w:jc w:val="center"/>
        <w:rPr>
          <w:b/>
          <w:bCs/>
        </w:rPr>
      </w:pPr>
      <w:r w:rsidRPr="00102605">
        <w:rPr>
          <w:b/>
          <w:bCs/>
        </w:rPr>
        <w:t>Overview of applicable regulatory framework</w:t>
      </w:r>
    </w:p>
    <w:tbl>
      <w:tblPr>
        <w:tblStyle w:val="Tablaconcuadrcula1clara"/>
        <w:tblW w:w="9464" w:type="dxa"/>
        <w:tblLook w:val="04A0" w:firstRow="1" w:lastRow="0" w:firstColumn="1" w:lastColumn="0" w:noHBand="0" w:noVBand="1"/>
      </w:tblPr>
      <w:tblGrid>
        <w:gridCol w:w="2954"/>
        <w:gridCol w:w="3562"/>
        <w:gridCol w:w="2948"/>
      </w:tblGrid>
      <w:tr w:rsidR="00873187" w:rsidRPr="00102605" w14:paraId="22C36211" w14:textId="77777777" w:rsidTr="00ED68A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54" w:type="dxa"/>
            <w:noWrap/>
            <w:hideMark/>
          </w:tcPr>
          <w:p w14:paraId="2E0BC40C" w14:textId="77777777" w:rsidR="00CB589A" w:rsidRPr="00D07B6F" w:rsidRDefault="00CB589A" w:rsidP="00E2502C">
            <w:pPr>
              <w:jc w:val="left"/>
              <w:rPr>
                <w:rFonts w:eastAsia="Times New Roman" w:cs="Arial"/>
                <w:color w:val="000000"/>
                <w:sz w:val="20"/>
                <w:szCs w:val="20"/>
                <w:lang w:eastAsia="de-DE"/>
              </w:rPr>
            </w:pPr>
            <w:r w:rsidRPr="00D07B6F">
              <w:rPr>
                <w:rFonts w:eastAsia="Times New Roman" w:cs="Arial"/>
                <w:color w:val="000000"/>
                <w:sz w:val="20"/>
                <w:szCs w:val="20"/>
                <w:lang w:eastAsia="de-DE"/>
              </w:rPr>
              <w:t>Title</w:t>
            </w:r>
          </w:p>
        </w:tc>
        <w:tc>
          <w:tcPr>
            <w:tcW w:w="3562" w:type="dxa"/>
            <w:noWrap/>
            <w:hideMark/>
          </w:tcPr>
          <w:p w14:paraId="146CC05A" w14:textId="77777777" w:rsidR="00CB589A" w:rsidRPr="00D07B6F" w:rsidRDefault="00CB589A" w:rsidP="00E2502C">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Description</w:t>
            </w:r>
          </w:p>
        </w:tc>
        <w:tc>
          <w:tcPr>
            <w:tcW w:w="2948" w:type="dxa"/>
            <w:noWrap/>
            <w:hideMark/>
          </w:tcPr>
          <w:p w14:paraId="2B1BF4D1" w14:textId="77777777" w:rsidR="00CB589A" w:rsidRPr="00D07B6F" w:rsidRDefault="00CB589A" w:rsidP="00E2502C">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Responsible institution</w:t>
            </w:r>
          </w:p>
        </w:tc>
      </w:tr>
      <w:tr w:rsidR="00873187" w:rsidRPr="00102605" w14:paraId="7546EC78"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0F640A5" w14:textId="77777777" w:rsidR="00CB589A" w:rsidRPr="00D07B6F" w:rsidRDefault="00CB589A" w:rsidP="00E2502C">
            <w:pPr>
              <w:jc w:val="left"/>
              <w:rPr>
                <w:rFonts w:eastAsia="Times New Roman" w:cs="Arial"/>
                <w:color w:val="000000"/>
                <w:sz w:val="20"/>
                <w:szCs w:val="20"/>
                <w:lang w:eastAsia="de-DE"/>
              </w:rPr>
            </w:pPr>
            <w:r w:rsidRPr="00D07B6F">
              <w:rPr>
                <w:rFonts w:eastAsia="Times New Roman" w:cs="Arial"/>
                <w:color w:val="000000"/>
                <w:sz w:val="20"/>
                <w:szCs w:val="20"/>
                <w:lang w:eastAsia="de-DE"/>
              </w:rPr>
              <w:t>Paraguay National Constitution – 1992, Article 6, 7 and 8</w:t>
            </w:r>
          </w:p>
        </w:tc>
        <w:tc>
          <w:tcPr>
            <w:tcW w:w="3562" w:type="dxa"/>
            <w:noWrap/>
          </w:tcPr>
          <w:p w14:paraId="521AB908"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Provisions relating to the environment</w:t>
            </w:r>
          </w:p>
          <w:p w14:paraId="66393F7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Article 6: Of the Quality of Life</w:t>
            </w:r>
          </w:p>
          <w:p w14:paraId="3D45D1F0"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The quality of life shall be promoted by the State through plans and policies that recognize conditioning factors, such as extreme poverty and the impediments of disability or of age. The State shall also promote research on the factors of population and their links with socioeconomic development, with the preservation of the environment and with the quality of life of the inhabitants.</w:t>
            </w:r>
          </w:p>
          <w:p w14:paraId="3A93C61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Article 7: Of the Right to a Healthy Environment Everyone has the right to live in a healthy and ecologically balanced environment. The preservation, the conservation the re-composition and the improvement of the environment, as well as its conciliation with the complete [integral] human development, constitute priority objectives of social interest. These purposes orient the legislation and the pertinent governmental policy.</w:t>
            </w:r>
          </w:p>
          <w:p w14:paraId="5224563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Article 8: Of Environmental Protection The law will regulate the activities susceptible of producing [an] environmental alteration. In the same way, it may restrict or prohibit those activities that it qualifies as dangerous.</w:t>
            </w:r>
          </w:p>
        </w:tc>
        <w:tc>
          <w:tcPr>
            <w:tcW w:w="2948" w:type="dxa"/>
            <w:noWrap/>
          </w:tcPr>
          <w:p w14:paraId="570D978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Congress</w:t>
            </w:r>
          </w:p>
        </w:tc>
      </w:tr>
      <w:tr w:rsidR="00873187" w:rsidRPr="00102605" w14:paraId="391BEBC3" w14:textId="77777777" w:rsidTr="00AA0C68">
        <w:trPr>
          <w:trHeight w:val="699"/>
        </w:trPr>
        <w:tc>
          <w:tcPr>
            <w:cnfStyle w:val="001000000000" w:firstRow="0" w:lastRow="0" w:firstColumn="1" w:lastColumn="0" w:oddVBand="0" w:evenVBand="0" w:oddHBand="0" w:evenHBand="0" w:firstRowFirstColumn="0" w:firstRowLastColumn="0" w:lastRowFirstColumn="0" w:lastRowLastColumn="0"/>
            <w:tcW w:w="2954" w:type="dxa"/>
            <w:noWrap/>
          </w:tcPr>
          <w:p w14:paraId="1CA21F44" w14:textId="439DA3AD" w:rsidR="00CB589A" w:rsidRPr="00F96761" w:rsidRDefault="00CB589A" w:rsidP="00E2502C">
            <w:pPr>
              <w:jc w:val="left"/>
              <w:rPr>
                <w:rFonts w:eastAsia="Times New Roman" w:cs="Arial"/>
                <w:color w:val="000000"/>
                <w:sz w:val="20"/>
                <w:szCs w:val="20"/>
                <w:lang w:eastAsia="de-DE"/>
              </w:rPr>
            </w:pPr>
            <w:r w:rsidRPr="00F96761">
              <w:rPr>
                <w:rFonts w:eastAsia="Times New Roman" w:cs="Arial"/>
                <w:color w:val="000000"/>
                <w:sz w:val="20"/>
                <w:szCs w:val="20"/>
                <w:lang w:eastAsia="de-DE"/>
              </w:rPr>
              <w:t>Law 294/1993 - Environmental Impact Study (</w:t>
            </w:r>
            <w:r w:rsidRPr="00AA304B">
              <w:rPr>
                <w:rFonts w:eastAsia="Times New Roman" w:cs="Arial"/>
                <w:color w:val="000000"/>
                <w:sz w:val="20"/>
                <w:szCs w:val="20"/>
                <w:lang w:eastAsia="de-DE"/>
              </w:rPr>
              <w:t>as amended by Law 345/94</w:t>
            </w:r>
            <w:r w:rsidRPr="00F96761">
              <w:rPr>
                <w:rFonts w:eastAsia="Times New Roman" w:cs="Arial"/>
                <w:color w:val="000000"/>
                <w:sz w:val="20"/>
                <w:szCs w:val="20"/>
                <w:lang w:eastAsia="de-DE"/>
              </w:rPr>
              <w:t>)</w:t>
            </w:r>
            <w:r>
              <w:rPr>
                <w:rFonts w:eastAsia="Times New Roman" w:cs="Arial"/>
                <w:color w:val="000000"/>
                <w:sz w:val="20"/>
                <w:szCs w:val="20"/>
                <w:lang w:eastAsia="de-DE"/>
              </w:rPr>
              <w:t xml:space="preserve"> and the complementary and regulative decrees.</w:t>
            </w:r>
          </w:p>
        </w:tc>
        <w:tc>
          <w:tcPr>
            <w:tcW w:w="3562" w:type="dxa"/>
            <w:noWrap/>
          </w:tcPr>
          <w:p w14:paraId="12963F62" w14:textId="77777777" w:rsidR="00CB589A"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96761">
              <w:rPr>
                <w:rFonts w:eastAsia="Times New Roman" w:cs="Arial"/>
                <w:color w:val="000000"/>
                <w:sz w:val="20"/>
                <w:szCs w:val="20"/>
                <w:lang w:eastAsia="de-DE"/>
              </w:rPr>
              <w:t>The law declares the Environmental Impact Study (section 1) mandatory when an activity or undertaking may generate an environmental impact.</w:t>
            </w:r>
          </w:p>
          <w:p w14:paraId="0CCFE0AE" w14:textId="4FDC8DAD" w:rsidR="00CB589A" w:rsidRPr="00F96761"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85C30">
              <w:rPr>
                <w:rFonts w:eastAsia="Times New Roman" w:cs="Arial"/>
                <w:color w:val="000000"/>
                <w:sz w:val="20"/>
                <w:szCs w:val="20"/>
                <w:lang w:eastAsia="de-DE"/>
              </w:rPr>
              <w:t>Environmental</w:t>
            </w:r>
            <w:r>
              <w:rPr>
                <w:rFonts w:eastAsia="Times New Roman" w:cs="Arial"/>
                <w:color w:val="000000"/>
                <w:sz w:val="20"/>
                <w:szCs w:val="20"/>
                <w:lang w:eastAsia="de-DE"/>
              </w:rPr>
              <w:t xml:space="preserve"> </w:t>
            </w:r>
            <w:r w:rsidRPr="00585C30">
              <w:rPr>
                <w:rFonts w:eastAsia="Times New Roman" w:cs="Arial"/>
                <w:color w:val="000000"/>
                <w:sz w:val="20"/>
                <w:szCs w:val="20"/>
                <w:lang w:eastAsia="de-DE"/>
              </w:rPr>
              <w:t>impact is legally defined as "any modification of the environment brought about by</w:t>
            </w:r>
            <w:r>
              <w:rPr>
                <w:rFonts w:eastAsia="Times New Roman" w:cs="Arial"/>
                <w:color w:val="000000"/>
                <w:sz w:val="20"/>
                <w:szCs w:val="20"/>
                <w:lang w:eastAsia="de-DE"/>
              </w:rPr>
              <w:t xml:space="preserve"> </w:t>
            </w:r>
            <w:r w:rsidRPr="00585C30">
              <w:rPr>
                <w:rFonts w:eastAsia="Times New Roman" w:cs="Arial"/>
                <w:color w:val="000000"/>
                <w:sz w:val="20"/>
                <w:szCs w:val="20"/>
                <w:lang w:eastAsia="de-DE"/>
              </w:rPr>
              <w:t>human works or activities which have a positive direct or indirect effect on life in</w:t>
            </w:r>
            <w:r>
              <w:rPr>
                <w:rFonts w:eastAsia="Times New Roman" w:cs="Arial"/>
                <w:color w:val="000000"/>
                <w:sz w:val="20"/>
                <w:szCs w:val="20"/>
                <w:lang w:eastAsia="de-DE"/>
              </w:rPr>
              <w:t xml:space="preserve"> </w:t>
            </w:r>
            <w:r w:rsidRPr="00585C30">
              <w:rPr>
                <w:rFonts w:eastAsia="Times New Roman" w:cs="Arial"/>
                <w:color w:val="000000"/>
                <w:sz w:val="20"/>
                <w:szCs w:val="20"/>
                <w:lang w:eastAsia="de-DE"/>
              </w:rPr>
              <w:t>general, on biodiversity, on the quality or significant quantity of natural or</w:t>
            </w:r>
            <w:r>
              <w:rPr>
                <w:rFonts w:eastAsia="Times New Roman" w:cs="Arial"/>
                <w:color w:val="000000"/>
                <w:sz w:val="20"/>
                <w:szCs w:val="20"/>
                <w:lang w:eastAsia="de-DE"/>
              </w:rPr>
              <w:t xml:space="preserve"> </w:t>
            </w:r>
            <w:r w:rsidRPr="00585C30">
              <w:rPr>
                <w:rFonts w:eastAsia="Times New Roman" w:cs="Arial"/>
                <w:color w:val="000000"/>
                <w:sz w:val="20"/>
                <w:szCs w:val="20"/>
                <w:lang w:eastAsia="de-DE"/>
              </w:rPr>
              <w:t>environmental resources and their exploitation, on well-being, on health, on personal</w:t>
            </w:r>
            <w:r>
              <w:rPr>
                <w:rFonts w:eastAsia="Times New Roman" w:cs="Arial"/>
                <w:color w:val="000000"/>
                <w:sz w:val="20"/>
                <w:szCs w:val="20"/>
                <w:lang w:eastAsia="de-DE"/>
              </w:rPr>
              <w:t xml:space="preserve"> </w:t>
            </w:r>
            <w:r w:rsidRPr="00585C30">
              <w:rPr>
                <w:rFonts w:eastAsia="Times New Roman" w:cs="Arial"/>
                <w:color w:val="000000"/>
                <w:sz w:val="20"/>
                <w:szCs w:val="20"/>
                <w:lang w:eastAsia="de-DE"/>
              </w:rPr>
              <w:t>safety, on habits and customs, on the cultural heritage or on legitimate livelihoods".</w:t>
            </w:r>
          </w:p>
        </w:tc>
        <w:tc>
          <w:tcPr>
            <w:tcW w:w="2948" w:type="dxa"/>
            <w:noWrap/>
          </w:tcPr>
          <w:p w14:paraId="1DEB20FF" w14:textId="77777777" w:rsidR="00CB589A" w:rsidRPr="00F96761"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F96761">
              <w:rPr>
                <w:rFonts w:cs="Arial"/>
                <w:sz w:val="20"/>
                <w:szCs w:val="20"/>
              </w:rPr>
              <w:t>Ministry of the Environment and Sustainable Development</w:t>
            </w:r>
          </w:p>
        </w:tc>
      </w:tr>
      <w:tr w:rsidR="00873187" w:rsidRPr="00102605" w14:paraId="295A2E86" w14:textId="77777777" w:rsidTr="00ED68A3">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7F6E6D5E" w14:textId="77777777" w:rsidR="00CB589A" w:rsidRPr="00D07B6F" w:rsidRDefault="00CB589A" w:rsidP="00E2502C">
            <w:pPr>
              <w:jc w:val="left"/>
              <w:rPr>
                <w:rFonts w:eastAsia="Times New Roman" w:cs="Arial"/>
                <w:color w:val="000000"/>
                <w:sz w:val="20"/>
                <w:szCs w:val="20"/>
                <w:lang w:eastAsia="de-DE"/>
              </w:rPr>
            </w:pPr>
            <w:r w:rsidRPr="00D07B6F">
              <w:rPr>
                <w:rFonts w:eastAsia="Times New Roman" w:cs="Arial"/>
                <w:color w:val="000000"/>
                <w:sz w:val="20"/>
                <w:szCs w:val="20"/>
                <w:lang w:eastAsia="de-DE"/>
              </w:rPr>
              <w:t>Law 1</w:t>
            </w:r>
            <w:r>
              <w:rPr>
                <w:rFonts w:eastAsia="Times New Roman" w:cs="Arial"/>
                <w:color w:val="000000"/>
                <w:sz w:val="20"/>
                <w:szCs w:val="20"/>
                <w:lang w:eastAsia="de-DE"/>
              </w:rPr>
              <w:t>.</w:t>
            </w:r>
            <w:r w:rsidRPr="00D07B6F">
              <w:rPr>
                <w:rFonts w:eastAsia="Times New Roman" w:cs="Arial"/>
                <w:color w:val="000000"/>
                <w:sz w:val="20"/>
                <w:szCs w:val="20"/>
                <w:lang w:eastAsia="de-DE"/>
              </w:rPr>
              <w:t>561/2000</w:t>
            </w:r>
          </w:p>
        </w:tc>
        <w:tc>
          <w:tcPr>
            <w:tcW w:w="3562" w:type="dxa"/>
            <w:noWrap/>
          </w:tcPr>
          <w:p w14:paraId="4A66ADA1"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Created National System of the Environment integrated by a group of public entities of the national, departmental and district governments with environmental competence.</w:t>
            </w:r>
          </w:p>
          <w:p w14:paraId="601FC457"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These regulations also created the National Council for the Environment (CONAM) and the National Environmental Policy (PAN)</w:t>
            </w:r>
          </w:p>
        </w:tc>
        <w:tc>
          <w:tcPr>
            <w:tcW w:w="2948" w:type="dxa"/>
            <w:noWrap/>
          </w:tcPr>
          <w:p w14:paraId="3DBC290E"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sz w:val="20"/>
              </w:rPr>
            </w:pPr>
            <w:r w:rsidRPr="00D07B6F">
              <w:rPr>
                <w:rFonts w:cs="Arial"/>
                <w:sz w:val="20"/>
                <w:szCs w:val="20"/>
              </w:rPr>
              <w:t>Ministry of the Environment and Sustainable Development</w:t>
            </w:r>
          </w:p>
        </w:tc>
      </w:tr>
      <w:tr w:rsidR="00873187" w:rsidRPr="00102605" w14:paraId="499F0443" w14:textId="77777777" w:rsidTr="00ED68A3">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1E8353B1" w14:textId="77777777" w:rsidR="00CB589A" w:rsidRPr="00D07B6F" w:rsidRDefault="00CB589A" w:rsidP="00E2502C">
            <w:pPr>
              <w:ind w:left="708" w:hanging="708"/>
              <w:jc w:val="left"/>
              <w:rPr>
                <w:rFonts w:eastAsia="Times New Roman" w:cs="Arial"/>
                <w:color w:val="000000"/>
                <w:sz w:val="20"/>
                <w:szCs w:val="20"/>
                <w:lang w:eastAsia="de-DE"/>
              </w:rPr>
            </w:pPr>
            <w:r w:rsidRPr="00757C6A">
              <w:rPr>
                <w:rFonts w:eastAsia="Times New Roman" w:cs="Arial"/>
                <w:color w:val="000000"/>
                <w:sz w:val="20"/>
                <w:szCs w:val="20"/>
                <w:lang w:eastAsia="de-DE"/>
              </w:rPr>
              <w:t>Law 5</w:t>
            </w:r>
            <w:r>
              <w:rPr>
                <w:rFonts w:eastAsia="Times New Roman" w:cs="Arial"/>
                <w:color w:val="000000"/>
                <w:sz w:val="20"/>
                <w:szCs w:val="20"/>
                <w:lang w:eastAsia="de-DE"/>
              </w:rPr>
              <w:t>.</w:t>
            </w:r>
            <w:r w:rsidRPr="00757C6A">
              <w:rPr>
                <w:rFonts w:eastAsia="Times New Roman" w:cs="Arial"/>
                <w:color w:val="000000"/>
                <w:sz w:val="20"/>
                <w:szCs w:val="20"/>
                <w:lang w:eastAsia="de-DE"/>
              </w:rPr>
              <w:t xml:space="preserve">211/14 </w:t>
            </w:r>
          </w:p>
        </w:tc>
        <w:tc>
          <w:tcPr>
            <w:tcW w:w="3562" w:type="dxa"/>
            <w:noWrap/>
          </w:tcPr>
          <w:p w14:paraId="2F2E607A"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401422">
              <w:rPr>
                <w:rFonts w:eastAsia="Times New Roman" w:cs="Arial"/>
                <w:color w:val="000000"/>
                <w:sz w:val="20"/>
                <w:szCs w:val="20"/>
                <w:lang w:eastAsia="de-DE"/>
              </w:rPr>
              <w:t xml:space="preserve">This law aims at protecting the air and the atmosphere, through the prevention and regulation of </w:t>
            </w:r>
            <w:r>
              <w:rPr>
                <w:rFonts w:eastAsia="Times New Roman" w:cs="Arial"/>
                <w:color w:val="000000"/>
                <w:sz w:val="20"/>
                <w:szCs w:val="20"/>
                <w:lang w:eastAsia="de-DE"/>
              </w:rPr>
              <w:t>ch</w:t>
            </w:r>
            <w:r w:rsidRPr="00401422">
              <w:rPr>
                <w:rFonts w:eastAsia="Times New Roman" w:cs="Arial"/>
                <w:color w:val="000000"/>
                <w:sz w:val="20"/>
                <w:szCs w:val="20"/>
                <w:lang w:eastAsia="de-DE"/>
              </w:rPr>
              <w:t xml:space="preserve">emical pollution. It follows the principles of precaution, </w:t>
            </w:r>
            <w:proofErr w:type="gramStart"/>
            <w:r w:rsidRPr="00401422">
              <w:rPr>
                <w:rFonts w:eastAsia="Times New Roman" w:cs="Arial"/>
                <w:color w:val="000000"/>
                <w:sz w:val="20"/>
                <w:szCs w:val="20"/>
                <w:lang w:eastAsia="de-DE"/>
              </w:rPr>
              <w:t>prevention</w:t>
            </w:r>
            <w:proofErr w:type="gramEnd"/>
            <w:r w:rsidRPr="00401422">
              <w:rPr>
                <w:rFonts w:eastAsia="Times New Roman" w:cs="Arial"/>
                <w:color w:val="000000"/>
                <w:sz w:val="20"/>
                <w:szCs w:val="20"/>
                <w:lang w:eastAsia="de-DE"/>
              </w:rPr>
              <w:t xml:space="preserve"> and compensation. GHG gases are comprised within the regulative framework set out by this law. The document further defines the means of protecting the air and atmosphere.</w:t>
            </w:r>
            <w:r>
              <w:rPr>
                <w:rStyle w:val="Refdenotaalpie"/>
                <w:rFonts w:eastAsia="Times New Roman" w:cs="Arial"/>
                <w:color w:val="000000"/>
                <w:sz w:val="20"/>
                <w:szCs w:val="20"/>
                <w:lang w:eastAsia="de-DE"/>
              </w:rPr>
              <w:footnoteReference w:id="16"/>
            </w:r>
          </w:p>
        </w:tc>
        <w:tc>
          <w:tcPr>
            <w:tcW w:w="2948" w:type="dxa"/>
            <w:noWrap/>
          </w:tcPr>
          <w:p w14:paraId="2138047C"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sz w:val="20"/>
              </w:rPr>
            </w:pPr>
            <w:r w:rsidRPr="00D07B6F">
              <w:rPr>
                <w:rFonts w:cs="Arial"/>
                <w:sz w:val="20"/>
                <w:szCs w:val="20"/>
              </w:rPr>
              <w:t>Ministry of the Environment and Sustainable Development</w:t>
            </w:r>
          </w:p>
        </w:tc>
      </w:tr>
      <w:tr w:rsidR="00873187" w:rsidRPr="00102605" w14:paraId="64FC09C5" w14:textId="77777777" w:rsidTr="00ED68A3">
        <w:trPr>
          <w:trHeight w:val="942"/>
        </w:trPr>
        <w:tc>
          <w:tcPr>
            <w:cnfStyle w:val="001000000000" w:firstRow="0" w:lastRow="0" w:firstColumn="1" w:lastColumn="0" w:oddVBand="0" w:evenVBand="0" w:oddHBand="0" w:evenHBand="0" w:firstRowFirstColumn="0" w:firstRowLastColumn="0" w:lastRowFirstColumn="0" w:lastRowLastColumn="0"/>
            <w:tcW w:w="2954" w:type="dxa"/>
            <w:noWrap/>
          </w:tcPr>
          <w:p w14:paraId="088456AE" w14:textId="77777777" w:rsidR="00CB589A" w:rsidRPr="00D07B6F" w:rsidRDefault="00CB589A" w:rsidP="00E2502C">
            <w:pPr>
              <w:jc w:val="left"/>
              <w:rPr>
                <w:rFonts w:eastAsia="Times New Roman" w:cs="Arial"/>
                <w:color w:val="000000"/>
                <w:sz w:val="20"/>
                <w:szCs w:val="20"/>
                <w:lang w:eastAsia="de-DE"/>
              </w:rPr>
            </w:pPr>
            <w:r w:rsidRPr="00D07B6F">
              <w:rPr>
                <w:rFonts w:eastAsia="Times New Roman" w:cs="Arial"/>
                <w:color w:val="000000"/>
                <w:sz w:val="20"/>
                <w:szCs w:val="20"/>
                <w:lang w:eastAsia="de-DE"/>
              </w:rPr>
              <w:t>Resolution SEAM 259/15 – States the permissible air quality parameters (according to Law 5</w:t>
            </w:r>
            <w:r>
              <w:rPr>
                <w:rFonts w:eastAsia="Times New Roman" w:cs="Arial"/>
                <w:color w:val="000000"/>
                <w:sz w:val="20"/>
                <w:szCs w:val="20"/>
                <w:lang w:eastAsia="de-DE"/>
              </w:rPr>
              <w:t>.</w:t>
            </w:r>
            <w:r w:rsidRPr="00D07B6F">
              <w:rPr>
                <w:rFonts w:eastAsia="Times New Roman" w:cs="Arial"/>
                <w:color w:val="000000"/>
                <w:sz w:val="20"/>
                <w:szCs w:val="20"/>
                <w:lang w:eastAsia="de-DE"/>
              </w:rPr>
              <w:t>211/14 Air Quality)</w:t>
            </w:r>
          </w:p>
        </w:tc>
        <w:tc>
          <w:tcPr>
            <w:tcW w:w="3562" w:type="dxa"/>
            <w:noWrap/>
          </w:tcPr>
          <w:p w14:paraId="57FE04A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Air quality regulation</w:t>
            </w:r>
          </w:p>
        </w:tc>
        <w:tc>
          <w:tcPr>
            <w:tcW w:w="2948" w:type="dxa"/>
            <w:noWrap/>
          </w:tcPr>
          <w:p w14:paraId="4706A59C"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D07B6F">
              <w:rPr>
                <w:rFonts w:cs="Arial"/>
                <w:sz w:val="20"/>
                <w:szCs w:val="20"/>
              </w:rPr>
              <w:t>Ministry of the Environment and Sustainable Development</w:t>
            </w:r>
          </w:p>
        </w:tc>
      </w:tr>
      <w:tr w:rsidR="00873187" w:rsidRPr="00102605" w14:paraId="30696019" w14:textId="77777777" w:rsidTr="00ED68A3">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1EDCD30A" w14:textId="77777777" w:rsidR="00CB589A" w:rsidRPr="00D07B6F" w:rsidRDefault="00CB589A" w:rsidP="00E2502C">
            <w:pPr>
              <w:jc w:val="left"/>
              <w:rPr>
                <w:rFonts w:eastAsia="Times New Roman" w:cs="Arial"/>
                <w:color w:val="000000"/>
                <w:sz w:val="20"/>
                <w:szCs w:val="20"/>
                <w:lang w:eastAsia="de-DE"/>
              </w:rPr>
            </w:pPr>
            <w:r w:rsidRPr="00AB5E2B">
              <w:rPr>
                <w:rFonts w:eastAsia="Times New Roman" w:cs="Arial"/>
                <w:color w:val="000000"/>
                <w:sz w:val="20"/>
                <w:szCs w:val="20"/>
                <w:lang w:eastAsia="de-DE"/>
              </w:rPr>
              <w:t>Law 6</w:t>
            </w:r>
            <w:r>
              <w:rPr>
                <w:rFonts w:eastAsia="Times New Roman" w:cs="Arial"/>
                <w:color w:val="000000"/>
                <w:sz w:val="20"/>
                <w:szCs w:val="20"/>
                <w:lang w:eastAsia="de-DE"/>
              </w:rPr>
              <w:t>.</w:t>
            </w:r>
            <w:r w:rsidRPr="00AB5E2B">
              <w:rPr>
                <w:rFonts w:eastAsia="Times New Roman" w:cs="Arial"/>
                <w:color w:val="000000"/>
                <w:sz w:val="20"/>
                <w:szCs w:val="20"/>
                <w:lang w:eastAsia="de-DE"/>
              </w:rPr>
              <w:t>676/2020</w:t>
            </w:r>
          </w:p>
        </w:tc>
        <w:tc>
          <w:tcPr>
            <w:tcW w:w="3562" w:type="dxa"/>
            <w:noWrap/>
          </w:tcPr>
          <w:p w14:paraId="1898F263" w14:textId="77777777" w:rsidR="00CB589A"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P</w:t>
            </w:r>
            <w:r w:rsidRPr="00A10526">
              <w:rPr>
                <w:rFonts w:eastAsia="Times New Roman" w:cs="Arial"/>
                <w:color w:val="000000"/>
                <w:sz w:val="20"/>
                <w:szCs w:val="20"/>
                <w:lang w:eastAsia="de-DE"/>
              </w:rPr>
              <w:t>rohibiting the activities of transformation and conversion of areas with forest cover in the Eastern Region</w:t>
            </w:r>
            <w:r>
              <w:rPr>
                <w:rFonts w:eastAsia="Times New Roman" w:cs="Arial"/>
                <w:color w:val="000000"/>
                <w:sz w:val="20"/>
                <w:szCs w:val="20"/>
                <w:lang w:eastAsia="de-DE"/>
              </w:rPr>
              <w:t>.</w:t>
            </w:r>
          </w:p>
          <w:p w14:paraId="3E978BF1"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41E6D">
              <w:rPr>
                <w:rFonts w:eastAsia="Times New Roman" w:cs="Arial"/>
                <w:color w:val="000000"/>
                <w:sz w:val="20"/>
                <w:szCs w:val="20"/>
                <w:lang w:eastAsia="de-DE"/>
              </w:rPr>
              <w:t xml:space="preserve">This law aims to regulate the protection, </w:t>
            </w:r>
            <w:proofErr w:type="gramStart"/>
            <w:r w:rsidRPr="00141E6D">
              <w:rPr>
                <w:rFonts w:eastAsia="Times New Roman" w:cs="Arial"/>
                <w:color w:val="000000"/>
                <w:sz w:val="20"/>
                <w:szCs w:val="20"/>
                <w:lang w:eastAsia="de-DE"/>
              </w:rPr>
              <w:t>recovery</w:t>
            </w:r>
            <w:proofErr w:type="gramEnd"/>
            <w:r w:rsidRPr="00141E6D">
              <w:rPr>
                <w:rFonts w:eastAsia="Times New Roman" w:cs="Arial"/>
                <w:color w:val="000000"/>
                <w:sz w:val="20"/>
                <w:szCs w:val="20"/>
                <w:lang w:eastAsia="de-DE"/>
              </w:rPr>
              <w:t xml:space="preserve"> and improvement of the native forest in the Eastern Region so that the forest fulfils its environmental, social and economic functions, contributing to the improvement of the quality of life of the inhabitants of the country.</w:t>
            </w:r>
          </w:p>
        </w:tc>
        <w:tc>
          <w:tcPr>
            <w:tcW w:w="2948" w:type="dxa"/>
            <w:noWrap/>
          </w:tcPr>
          <w:p w14:paraId="56E07D6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BE29B4">
              <w:rPr>
                <w:rFonts w:eastAsia="Times New Roman" w:cs="Arial"/>
                <w:color w:val="000000"/>
                <w:sz w:val="20"/>
                <w:szCs w:val="20"/>
                <w:lang w:eastAsia="de-DE"/>
              </w:rPr>
              <w:t>National Forest Institute</w:t>
            </w:r>
          </w:p>
        </w:tc>
      </w:tr>
      <w:tr w:rsidR="00873187" w:rsidRPr="00102605" w14:paraId="51224044" w14:textId="77777777" w:rsidTr="00ED68A3">
        <w:trPr>
          <w:trHeight w:val="1226"/>
        </w:trPr>
        <w:tc>
          <w:tcPr>
            <w:cnfStyle w:val="001000000000" w:firstRow="0" w:lastRow="0" w:firstColumn="1" w:lastColumn="0" w:oddVBand="0" w:evenVBand="0" w:oddHBand="0" w:evenHBand="0" w:firstRowFirstColumn="0" w:firstRowLastColumn="0" w:lastRowFirstColumn="0" w:lastRowLastColumn="0"/>
            <w:tcW w:w="2954" w:type="dxa"/>
            <w:noWrap/>
          </w:tcPr>
          <w:p w14:paraId="09F0371E" w14:textId="77777777" w:rsidR="00CB589A" w:rsidRPr="00D07B6F" w:rsidRDefault="00CB589A" w:rsidP="00E2502C">
            <w:pPr>
              <w:jc w:val="left"/>
              <w:rPr>
                <w:rFonts w:eastAsia="Times New Roman" w:cs="Arial"/>
                <w:color w:val="000000"/>
                <w:sz w:val="20"/>
                <w:szCs w:val="20"/>
                <w:lang w:eastAsia="de-DE"/>
              </w:rPr>
            </w:pPr>
            <w:r w:rsidRPr="00141E6D">
              <w:rPr>
                <w:rFonts w:eastAsia="Times New Roman" w:cs="Arial"/>
                <w:color w:val="000000"/>
                <w:sz w:val="20"/>
                <w:szCs w:val="20"/>
                <w:lang w:eastAsia="de-DE"/>
              </w:rPr>
              <w:t>National Law on Climate Change no. 5</w:t>
            </w:r>
            <w:r>
              <w:rPr>
                <w:rFonts w:eastAsia="Times New Roman" w:cs="Arial"/>
                <w:color w:val="000000"/>
                <w:sz w:val="20"/>
                <w:szCs w:val="20"/>
                <w:lang w:eastAsia="de-DE"/>
              </w:rPr>
              <w:t>.</w:t>
            </w:r>
            <w:r w:rsidRPr="00141E6D">
              <w:rPr>
                <w:rFonts w:eastAsia="Times New Roman" w:cs="Arial"/>
                <w:color w:val="000000"/>
                <w:sz w:val="20"/>
                <w:szCs w:val="20"/>
                <w:lang w:eastAsia="de-DE"/>
              </w:rPr>
              <w:t>875</w:t>
            </w:r>
            <w:r>
              <w:rPr>
                <w:rFonts w:eastAsia="Times New Roman" w:cs="Arial"/>
                <w:color w:val="000000"/>
                <w:sz w:val="20"/>
                <w:szCs w:val="20"/>
                <w:lang w:eastAsia="de-DE"/>
              </w:rPr>
              <w:t>/17</w:t>
            </w:r>
          </w:p>
        </w:tc>
        <w:tc>
          <w:tcPr>
            <w:tcW w:w="3562" w:type="dxa"/>
            <w:noWrap/>
          </w:tcPr>
          <w:p w14:paraId="5F7F1EB0" w14:textId="3E80BD58" w:rsidR="00CB589A" w:rsidRPr="005E262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E262B">
              <w:rPr>
                <w:rFonts w:eastAsia="Times New Roman" w:cs="Arial"/>
                <w:color w:val="000000"/>
                <w:sz w:val="20"/>
                <w:szCs w:val="20"/>
                <w:lang w:eastAsia="de-DE"/>
              </w:rPr>
              <w:t xml:space="preserve">Law no. 5875/17 on Climate Change establishes a normative framework in Paraguay for mitigation and adaptation, in line with its adhesion to the Paris Agreement and the National Development Plan. It aims </w:t>
            </w:r>
            <w:proofErr w:type="gramStart"/>
            <w:r w:rsidRPr="005E262B">
              <w:rPr>
                <w:rFonts w:eastAsia="Times New Roman" w:cs="Arial"/>
                <w:color w:val="000000"/>
                <w:sz w:val="20"/>
                <w:szCs w:val="20"/>
                <w:lang w:eastAsia="de-DE"/>
              </w:rPr>
              <w:t>in particular at</w:t>
            </w:r>
            <w:proofErr w:type="gramEnd"/>
            <w:r w:rsidRPr="005E262B">
              <w:rPr>
                <w:rFonts w:eastAsia="Times New Roman" w:cs="Arial"/>
                <w:color w:val="000000"/>
                <w:sz w:val="20"/>
                <w:szCs w:val="20"/>
                <w:lang w:eastAsia="de-DE"/>
              </w:rPr>
              <w:t xml:space="preserve"> implementing actions that reduce the country's vulnerabilities to climate change and actions which allow to reduce its greenhouse gases emissions. These actions will be developed in a National Plan for Climate Change which will detail and actualise the dedicated policies.</w:t>
            </w:r>
          </w:p>
          <w:p w14:paraId="2AC926E5" w14:textId="764F0450" w:rsidR="00CB589A" w:rsidRPr="005E262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E262B">
              <w:rPr>
                <w:rFonts w:eastAsia="Times New Roman" w:cs="Arial"/>
                <w:color w:val="000000"/>
                <w:sz w:val="20"/>
                <w:szCs w:val="20"/>
                <w:lang w:eastAsia="de-DE"/>
              </w:rPr>
              <w:t xml:space="preserve">The law further mandates the creation of </w:t>
            </w:r>
            <w:proofErr w:type="gramStart"/>
            <w:r w:rsidRPr="005E262B">
              <w:rPr>
                <w:rFonts w:eastAsia="Times New Roman" w:cs="Arial"/>
                <w:color w:val="000000"/>
                <w:sz w:val="20"/>
                <w:szCs w:val="20"/>
                <w:lang w:eastAsia="de-DE"/>
              </w:rPr>
              <w:t>a number of</w:t>
            </w:r>
            <w:proofErr w:type="gramEnd"/>
            <w:r w:rsidRPr="005E262B">
              <w:rPr>
                <w:rFonts w:eastAsia="Times New Roman" w:cs="Arial"/>
                <w:color w:val="000000"/>
                <w:sz w:val="20"/>
                <w:szCs w:val="20"/>
                <w:lang w:eastAsia="de-DE"/>
              </w:rPr>
              <w:t xml:space="preserve"> institutions: 1) the National Commission on Climate Change as a multi-institutional body in charge of setting up and updating the country's policy strategies, 2) a National Directorate on Climate Change as the executive body in charge of applying climate change policies, and 3) the Climate Change Fund that will be under managed by the executive's Environment Secretariat (Seam). More broadly, the Secretariat will oversee public and private funds directed towards mitigation and adaptation.</w:t>
            </w:r>
          </w:p>
          <w:p w14:paraId="01E5FAAF"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E262B">
              <w:rPr>
                <w:rFonts w:eastAsia="Times New Roman" w:cs="Arial"/>
                <w:color w:val="000000"/>
                <w:sz w:val="20"/>
                <w:szCs w:val="20"/>
                <w:lang w:eastAsia="de-DE"/>
              </w:rPr>
              <w:t>The Decree no. 14.943/01, implementing the National Climate Change Program, will be updated in accordance with the new law.</w:t>
            </w:r>
          </w:p>
        </w:tc>
        <w:tc>
          <w:tcPr>
            <w:tcW w:w="2948" w:type="dxa"/>
            <w:noWrap/>
          </w:tcPr>
          <w:p w14:paraId="6ECEB6BB"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sz w:val="20"/>
              </w:rPr>
            </w:pPr>
            <w:r w:rsidRPr="00D07B6F">
              <w:rPr>
                <w:rFonts w:cs="Arial"/>
                <w:sz w:val="20"/>
                <w:szCs w:val="20"/>
              </w:rPr>
              <w:t>Ministry of the Environment and Sustainable Development</w:t>
            </w:r>
          </w:p>
        </w:tc>
      </w:tr>
      <w:tr w:rsidR="00873187" w:rsidRPr="00102605" w14:paraId="473152E1"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4605438" w14:textId="77777777" w:rsidR="00CB589A" w:rsidRPr="0085413B" w:rsidRDefault="00CB589A" w:rsidP="00E2502C">
            <w:pPr>
              <w:jc w:val="left"/>
              <w:rPr>
                <w:rFonts w:eastAsia="Times New Roman" w:cs="Arial"/>
                <w:color w:val="000000"/>
                <w:sz w:val="20"/>
                <w:szCs w:val="20"/>
                <w:highlight w:val="yellow"/>
                <w:lang w:eastAsia="de-DE"/>
              </w:rPr>
            </w:pPr>
            <w:r w:rsidRPr="009A7FC7">
              <w:rPr>
                <w:rFonts w:eastAsia="Times New Roman" w:cs="Arial"/>
                <w:color w:val="000000"/>
                <w:sz w:val="20"/>
                <w:szCs w:val="20"/>
                <w:lang w:eastAsia="de-DE"/>
              </w:rPr>
              <w:t>Framework law on natural gas no. 3</w:t>
            </w:r>
            <w:r>
              <w:rPr>
                <w:rFonts w:eastAsia="Times New Roman" w:cs="Arial"/>
                <w:color w:val="000000"/>
                <w:sz w:val="20"/>
                <w:szCs w:val="20"/>
                <w:lang w:eastAsia="de-DE"/>
              </w:rPr>
              <w:t>.</w:t>
            </w:r>
            <w:r w:rsidRPr="009A7FC7">
              <w:rPr>
                <w:rFonts w:eastAsia="Times New Roman" w:cs="Arial"/>
                <w:color w:val="000000"/>
                <w:sz w:val="20"/>
                <w:szCs w:val="20"/>
                <w:lang w:eastAsia="de-DE"/>
              </w:rPr>
              <w:t>254/07 (mitigation of environmental impact)</w:t>
            </w:r>
          </w:p>
        </w:tc>
        <w:tc>
          <w:tcPr>
            <w:tcW w:w="3562" w:type="dxa"/>
            <w:noWrap/>
          </w:tcPr>
          <w:p w14:paraId="2E8BD0A5"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47012F">
              <w:rPr>
                <w:rFonts w:eastAsia="Times New Roman" w:cs="Arial"/>
                <w:color w:val="000000"/>
                <w:sz w:val="20"/>
                <w:szCs w:val="20"/>
                <w:lang w:eastAsia="de-DE"/>
              </w:rPr>
              <w:t>This law aims at promoting jobs and energy alternatives, protecting consumer interests, protecting the environment, and promote energy conservation through the promotion of natural gas. It also seeks to identify solutions adequate to each region in Paraguay. A favourable fiscal regime for natural gas is instituted.</w:t>
            </w:r>
          </w:p>
        </w:tc>
        <w:tc>
          <w:tcPr>
            <w:tcW w:w="2948" w:type="dxa"/>
            <w:noWrap/>
          </w:tcPr>
          <w:p w14:paraId="44D01DC9"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B24768">
              <w:rPr>
                <w:rFonts w:eastAsia="Times New Roman" w:cs="Arial"/>
                <w:color w:val="000000"/>
                <w:sz w:val="20"/>
                <w:szCs w:val="20"/>
                <w:lang w:eastAsia="de-DE"/>
              </w:rPr>
              <w:t>Ministry of Public Works and Communications</w:t>
            </w:r>
          </w:p>
        </w:tc>
      </w:tr>
      <w:tr w:rsidR="00873187" w:rsidRPr="00102605" w14:paraId="4D24ACBC"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BE235A7" w14:textId="77777777" w:rsidR="00CB589A" w:rsidRPr="005D5CF5" w:rsidRDefault="00CB589A" w:rsidP="00E2502C">
            <w:pPr>
              <w:jc w:val="left"/>
              <w:rPr>
                <w:color w:val="000000"/>
                <w:sz w:val="20"/>
                <w:highlight w:val="yellow"/>
              </w:rPr>
            </w:pPr>
            <w:r w:rsidRPr="00B471E7">
              <w:rPr>
                <w:rFonts w:eastAsia="Times New Roman" w:cs="Arial"/>
                <w:color w:val="000000"/>
                <w:sz w:val="20"/>
                <w:szCs w:val="20"/>
                <w:lang w:eastAsia="de-DE"/>
              </w:rPr>
              <w:t>Law N ° 3</w:t>
            </w:r>
            <w:r>
              <w:rPr>
                <w:rFonts w:eastAsia="Times New Roman" w:cs="Arial"/>
                <w:color w:val="000000"/>
                <w:sz w:val="20"/>
                <w:szCs w:val="20"/>
                <w:lang w:eastAsia="de-DE"/>
              </w:rPr>
              <w:t>.</w:t>
            </w:r>
            <w:r w:rsidRPr="00B471E7">
              <w:rPr>
                <w:rFonts w:eastAsia="Times New Roman" w:cs="Arial"/>
                <w:color w:val="000000"/>
                <w:sz w:val="20"/>
                <w:szCs w:val="20"/>
                <w:lang w:eastAsia="de-DE"/>
              </w:rPr>
              <w:t>001/06 strengthening the adaptation capacity of ecosystems and the protection of their biodiversity</w:t>
            </w:r>
          </w:p>
        </w:tc>
        <w:tc>
          <w:tcPr>
            <w:tcW w:w="3562" w:type="dxa"/>
            <w:noWrap/>
          </w:tcPr>
          <w:p w14:paraId="20311E5D" w14:textId="645AF989"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rPr>
            </w:pPr>
            <w:r w:rsidRPr="00272AF9">
              <w:rPr>
                <w:rFonts w:eastAsia="Times New Roman" w:cs="Arial"/>
                <w:color w:val="000000"/>
                <w:sz w:val="20"/>
                <w:szCs w:val="20"/>
                <w:lang w:eastAsia="de-DE"/>
              </w:rPr>
              <w:t xml:space="preserve">This law promotes the conservation, protection, recovery and sustainable development of the country's biological diversity and natural resources, through the fair, timely and adequate </w:t>
            </w:r>
            <w:proofErr w:type="gramStart"/>
            <w:r w:rsidRPr="00272AF9">
              <w:rPr>
                <w:rFonts w:eastAsia="Times New Roman" w:cs="Arial"/>
                <w:color w:val="000000"/>
                <w:sz w:val="20"/>
                <w:szCs w:val="20"/>
                <w:lang w:eastAsia="de-DE"/>
              </w:rPr>
              <w:t>valuation</w:t>
            </w:r>
            <w:proofErr w:type="gramEnd"/>
            <w:r w:rsidRPr="00272AF9">
              <w:rPr>
                <w:rFonts w:eastAsia="Times New Roman" w:cs="Arial"/>
                <w:color w:val="000000"/>
                <w:sz w:val="20"/>
                <w:szCs w:val="20"/>
                <w:lang w:eastAsia="de-DE"/>
              </w:rPr>
              <w:t xml:space="preserve"> and remuneration of environmental services. Article 2 lists carbon absorption as one of the environmental services in scope.</w:t>
            </w:r>
          </w:p>
        </w:tc>
        <w:tc>
          <w:tcPr>
            <w:tcW w:w="2948" w:type="dxa"/>
            <w:noWrap/>
          </w:tcPr>
          <w:p w14:paraId="17668F55"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rPr>
            </w:pPr>
            <w:r w:rsidRPr="00CB484C">
              <w:rPr>
                <w:rFonts w:cs="Arial"/>
                <w:sz w:val="20"/>
                <w:szCs w:val="20"/>
              </w:rPr>
              <w:t>Ministry of the Environment and Sustainable Development</w:t>
            </w:r>
          </w:p>
        </w:tc>
      </w:tr>
      <w:tr w:rsidR="00873187" w:rsidRPr="00102605" w14:paraId="6AE0E734"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4F14AA0" w14:textId="77777777" w:rsidR="00CB589A" w:rsidRPr="0085413B" w:rsidRDefault="00CB589A" w:rsidP="00E2502C">
            <w:pPr>
              <w:jc w:val="left"/>
              <w:rPr>
                <w:rFonts w:eastAsia="Times New Roman" w:cs="Arial"/>
                <w:color w:val="000000"/>
                <w:sz w:val="20"/>
                <w:szCs w:val="20"/>
                <w:highlight w:val="yellow"/>
                <w:lang w:eastAsia="de-DE"/>
              </w:rPr>
            </w:pPr>
            <w:r w:rsidRPr="003012C7">
              <w:rPr>
                <w:rFonts w:eastAsia="Times New Roman" w:cs="Arial"/>
                <w:color w:val="000000"/>
                <w:sz w:val="20"/>
                <w:szCs w:val="20"/>
                <w:lang w:eastAsia="de-DE"/>
              </w:rPr>
              <w:t>Law 2</w:t>
            </w:r>
            <w:r>
              <w:rPr>
                <w:rFonts w:eastAsia="Times New Roman" w:cs="Arial"/>
                <w:color w:val="000000"/>
                <w:sz w:val="20"/>
                <w:szCs w:val="20"/>
                <w:lang w:eastAsia="de-DE"/>
              </w:rPr>
              <w:t>.</w:t>
            </w:r>
            <w:r w:rsidRPr="003012C7">
              <w:rPr>
                <w:rFonts w:eastAsia="Times New Roman" w:cs="Arial"/>
                <w:color w:val="000000"/>
                <w:sz w:val="20"/>
                <w:szCs w:val="20"/>
                <w:lang w:eastAsia="de-DE"/>
              </w:rPr>
              <w:t>748/05 on the promotion of biofuels</w:t>
            </w:r>
          </w:p>
        </w:tc>
        <w:tc>
          <w:tcPr>
            <w:tcW w:w="3562" w:type="dxa"/>
            <w:noWrap/>
          </w:tcPr>
          <w:p w14:paraId="37C8A255" w14:textId="6AC4C3DD"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3012C7">
              <w:rPr>
                <w:rFonts w:eastAsia="Times New Roman" w:cs="Arial"/>
                <w:color w:val="000000"/>
                <w:sz w:val="20"/>
                <w:szCs w:val="20"/>
                <w:lang w:eastAsia="de-DE"/>
              </w:rPr>
              <w:t xml:space="preserve">This law aims at favouring the uptake of biofuels production and consumption in the country. It focuses on biodiesel, absolute and hydrated </w:t>
            </w:r>
            <w:proofErr w:type="spellStart"/>
            <w:r w:rsidRPr="003012C7">
              <w:rPr>
                <w:rFonts w:eastAsia="Times New Roman" w:cs="Arial"/>
                <w:color w:val="000000"/>
                <w:sz w:val="20"/>
                <w:szCs w:val="20"/>
                <w:lang w:eastAsia="de-DE"/>
              </w:rPr>
              <w:t>bioetanol</w:t>
            </w:r>
            <w:proofErr w:type="spellEnd"/>
            <w:r w:rsidRPr="003012C7">
              <w:rPr>
                <w:rFonts w:eastAsia="Times New Roman" w:cs="Arial"/>
                <w:color w:val="000000"/>
                <w:sz w:val="20"/>
                <w:szCs w:val="20"/>
                <w:lang w:eastAsia="de-DE"/>
              </w:rPr>
              <w:t xml:space="preserve">. The industrial production of biofuels is declared of national interest in art. 4. The law allows for people and entities engaging into biofuel production to benefit from tax incentives defined in laws 60/90 </w:t>
            </w:r>
            <w:r>
              <w:rPr>
                <w:rFonts w:eastAsia="Times New Roman" w:cs="Arial"/>
                <w:color w:val="000000"/>
                <w:sz w:val="20"/>
                <w:szCs w:val="20"/>
                <w:lang w:eastAsia="de-DE"/>
              </w:rPr>
              <w:t>and</w:t>
            </w:r>
            <w:r w:rsidRPr="003012C7">
              <w:rPr>
                <w:rFonts w:eastAsia="Times New Roman" w:cs="Arial"/>
                <w:color w:val="000000"/>
                <w:sz w:val="20"/>
                <w:szCs w:val="20"/>
                <w:lang w:eastAsia="de-DE"/>
              </w:rPr>
              <w:t xml:space="preserve"> 2421/04. The document further sets regulatory rules around the scheme.</w:t>
            </w:r>
          </w:p>
        </w:tc>
        <w:tc>
          <w:tcPr>
            <w:tcW w:w="2948" w:type="dxa"/>
            <w:noWrap/>
          </w:tcPr>
          <w:p w14:paraId="2708784A"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822130">
              <w:rPr>
                <w:rFonts w:eastAsia="Times New Roman" w:cs="Arial"/>
                <w:color w:val="000000"/>
                <w:sz w:val="20"/>
                <w:szCs w:val="20"/>
                <w:lang w:eastAsia="de-DE"/>
              </w:rPr>
              <w:t>Ministry of Industry and Commerce</w:t>
            </w:r>
          </w:p>
        </w:tc>
      </w:tr>
      <w:tr w:rsidR="00873187" w:rsidRPr="00102605" w14:paraId="7FDAC9C8"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9BCAC4C" w14:textId="77777777" w:rsidR="00CB589A" w:rsidRPr="005D5CF5" w:rsidRDefault="00CB589A" w:rsidP="00E2502C">
            <w:pPr>
              <w:jc w:val="left"/>
              <w:rPr>
                <w:color w:val="000000"/>
                <w:sz w:val="20"/>
                <w:highlight w:val="yellow"/>
              </w:rPr>
            </w:pPr>
            <w:r w:rsidRPr="00554852">
              <w:rPr>
                <w:rFonts w:eastAsia="Times New Roman" w:cs="Arial"/>
                <w:color w:val="000000"/>
                <w:sz w:val="20"/>
                <w:szCs w:val="20"/>
                <w:lang w:eastAsia="de-DE"/>
              </w:rPr>
              <w:t>Law no. 1</w:t>
            </w:r>
            <w:r>
              <w:rPr>
                <w:rFonts w:eastAsia="Times New Roman" w:cs="Arial"/>
                <w:color w:val="000000"/>
                <w:sz w:val="20"/>
                <w:szCs w:val="20"/>
                <w:lang w:eastAsia="de-DE"/>
              </w:rPr>
              <w:t>.</w:t>
            </w:r>
            <w:r w:rsidRPr="00554852">
              <w:rPr>
                <w:rFonts w:eastAsia="Times New Roman" w:cs="Arial"/>
                <w:color w:val="000000"/>
                <w:sz w:val="20"/>
                <w:szCs w:val="20"/>
                <w:lang w:eastAsia="de-DE"/>
              </w:rPr>
              <w:t>561/00 (creating the National Environmental Council)</w:t>
            </w:r>
          </w:p>
        </w:tc>
        <w:tc>
          <w:tcPr>
            <w:tcW w:w="3562" w:type="dxa"/>
            <w:noWrap/>
          </w:tcPr>
          <w:p w14:paraId="062AD3AD" w14:textId="199AF2CB"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rPr>
            </w:pPr>
            <w:r w:rsidRPr="00554852">
              <w:rPr>
                <w:rFonts w:eastAsia="Times New Roman" w:cs="Arial"/>
                <w:color w:val="000000"/>
                <w:sz w:val="20"/>
                <w:szCs w:val="20"/>
                <w:lang w:eastAsia="de-DE"/>
              </w:rPr>
              <w:t xml:space="preserve">This law creates and regulates the functioning of the agencies responsible for the development, standardisation, coordination, execution and oversight of national environmental policy and management. It notably creates the National System of the Environment (SISNAM), integrated by the set of organs and public entities of the national, </w:t>
            </w:r>
            <w:proofErr w:type="gramStart"/>
            <w:r w:rsidRPr="00554852">
              <w:rPr>
                <w:rFonts w:eastAsia="Times New Roman" w:cs="Arial"/>
                <w:color w:val="000000"/>
                <w:sz w:val="20"/>
                <w:szCs w:val="20"/>
                <w:lang w:eastAsia="de-DE"/>
              </w:rPr>
              <w:t>departmental</w:t>
            </w:r>
            <w:proofErr w:type="gramEnd"/>
            <w:r w:rsidRPr="00554852">
              <w:rPr>
                <w:rFonts w:eastAsia="Times New Roman" w:cs="Arial"/>
                <w:color w:val="000000"/>
                <w:sz w:val="20"/>
                <w:szCs w:val="20"/>
                <w:lang w:eastAsia="de-DE"/>
              </w:rPr>
              <w:t xml:space="preserve"> and municipal governments, with environmental competence; and private entities created with the same purpose. The system also aims at avoiding institutional conflicts, </w:t>
            </w:r>
            <w:proofErr w:type="gramStart"/>
            <w:r w:rsidRPr="00554852">
              <w:rPr>
                <w:rFonts w:eastAsia="Times New Roman" w:cs="Arial"/>
                <w:color w:val="000000"/>
                <w:sz w:val="20"/>
                <w:szCs w:val="20"/>
                <w:lang w:eastAsia="de-DE"/>
              </w:rPr>
              <w:t>gaps</w:t>
            </w:r>
            <w:proofErr w:type="gramEnd"/>
            <w:r w:rsidRPr="00554852">
              <w:rPr>
                <w:rFonts w:eastAsia="Times New Roman" w:cs="Arial"/>
                <w:color w:val="000000"/>
                <w:sz w:val="20"/>
                <w:szCs w:val="20"/>
                <w:lang w:eastAsia="de-DE"/>
              </w:rPr>
              <w:t xml:space="preserve"> or competition overlaps. The System's supervisory attributions include climate-related matters.</w:t>
            </w:r>
          </w:p>
        </w:tc>
        <w:tc>
          <w:tcPr>
            <w:tcW w:w="2948" w:type="dxa"/>
            <w:noWrap/>
          </w:tcPr>
          <w:p w14:paraId="34075530"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rPr>
            </w:pPr>
            <w:r w:rsidRPr="00CB484C">
              <w:rPr>
                <w:rFonts w:cs="Arial"/>
                <w:sz w:val="20"/>
                <w:szCs w:val="20"/>
              </w:rPr>
              <w:t>Ministry of the Environment and Sustainable Development</w:t>
            </w:r>
          </w:p>
        </w:tc>
      </w:tr>
      <w:tr w:rsidR="00873187" w:rsidRPr="00102605" w14:paraId="2902C586"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60359D1" w14:textId="77777777" w:rsidR="00CB589A" w:rsidRPr="00BF004E" w:rsidRDefault="00CB589A" w:rsidP="00E2502C">
            <w:pPr>
              <w:jc w:val="left"/>
              <w:rPr>
                <w:rFonts w:eastAsia="Times New Roman" w:cs="Arial"/>
                <w:color w:val="000000"/>
                <w:sz w:val="20"/>
                <w:szCs w:val="20"/>
                <w:highlight w:val="yellow"/>
                <w:lang w:val="en-US" w:eastAsia="de-DE"/>
              </w:rPr>
            </w:pPr>
            <w:r w:rsidRPr="00BF004E">
              <w:rPr>
                <w:rFonts w:eastAsia="Times New Roman" w:cs="Arial"/>
                <w:color w:val="000000"/>
                <w:sz w:val="20"/>
                <w:szCs w:val="20"/>
                <w:lang w:val="en-US" w:eastAsia="de-DE"/>
              </w:rPr>
              <w:t>Law 536/95 to promote afforestation and reforestation</w:t>
            </w:r>
          </w:p>
        </w:tc>
        <w:tc>
          <w:tcPr>
            <w:tcW w:w="3562" w:type="dxa"/>
            <w:noWrap/>
          </w:tcPr>
          <w:p w14:paraId="19996DBC"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B766F9">
              <w:rPr>
                <w:rFonts w:eastAsia="Times New Roman" w:cs="Arial"/>
                <w:color w:val="000000"/>
                <w:sz w:val="20"/>
                <w:szCs w:val="20"/>
                <w:lang w:eastAsia="de-DE"/>
              </w:rPr>
              <w:t>This law states that the State shall provide the afforestation and reforestation action in forest priority areas, based on a Forest Management Plan and with the incentives established in this document. The priority areas are exempt from other legal obligations, such as the Agrarian Reform. The document details the specific rules associated to priority areas. To incentivise growing forestry, the State will apply a one-time cost rebate by 75% for each afforested or reforested area. These concerns the direct costs of implantation and management costs (art. 7).</w:t>
            </w:r>
          </w:p>
        </w:tc>
        <w:tc>
          <w:tcPr>
            <w:tcW w:w="2948" w:type="dxa"/>
            <w:noWrap/>
          </w:tcPr>
          <w:p w14:paraId="2E1391BA"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D16D68">
              <w:rPr>
                <w:rFonts w:eastAsia="Times New Roman" w:cs="Arial"/>
                <w:color w:val="000000"/>
                <w:sz w:val="20"/>
                <w:szCs w:val="20"/>
                <w:lang w:eastAsia="de-DE"/>
              </w:rPr>
              <w:t>National Forest Institute</w:t>
            </w:r>
          </w:p>
        </w:tc>
      </w:tr>
      <w:tr w:rsidR="00873187" w:rsidRPr="00102605" w14:paraId="4F2EB3D5"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E9A4BED" w14:textId="77777777" w:rsidR="00CB589A" w:rsidRPr="004E019C" w:rsidRDefault="00CB589A" w:rsidP="00E2502C">
            <w:pPr>
              <w:jc w:val="left"/>
              <w:rPr>
                <w:rFonts w:eastAsia="Times New Roman" w:cs="Arial"/>
                <w:color w:val="000000"/>
                <w:sz w:val="20"/>
                <w:szCs w:val="20"/>
                <w:highlight w:val="yellow"/>
                <w:lang w:val="en-US" w:eastAsia="de-DE"/>
              </w:rPr>
            </w:pPr>
            <w:r w:rsidRPr="004E019C">
              <w:rPr>
                <w:rFonts w:eastAsia="Times New Roman" w:cs="Arial"/>
                <w:color w:val="000000"/>
                <w:sz w:val="20"/>
                <w:szCs w:val="20"/>
                <w:lang w:val="en-US" w:eastAsia="de-DE"/>
              </w:rPr>
              <w:t>National Forest Strategy for Sustainable Growth</w:t>
            </w:r>
          </w:p>
        </w:tc>
        <w:tc>
          <w:tcPr>
            <w:tcW w:w="3562" w:type="dxa"/>
            <w:noWrap/>
          </w:tcPr>
          <w:p w14:paraId="105F9AFE"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837A9">
              <w:rPr>
                <w:rFonts w:eastAsia="Times New Roman" w:cs="Arial"/>
                <w:color w:val="000000"/>
                <w:sz w:val="20"/>
                <w:szCs w:val="20"/>
                <w:lang w:eastAsia="de-DE"/>
              </w:rPr>
              <w:t>This strategy was approved by Resolution 293/2019. It aims to enable the long-term sustainable development of forests in Paraguay.</w:t>
            </w:r>
          </w:p>
        </w:tc>
        <w:tc>
          <w:tcPr>
            <w:tcW w:w="2948" w:type="dxa"/>
            <w:noWrap/>
          </w:tcPr>
          <w:p w14:paraId="3EC9B839"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102605" w14:paraId="3DCCC685"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EB6A705" w14:textId="77777777" w:rsidR="00CB589A" w:rsidRPr="0085413B" w:rsidRDefault="00CB589A" w:rsidP="00E2502C">
            <w:pPr>
              <w:jc w:val="left"/>
              <w:rPr>
                <w:rFonts w:eastAsia="Times New Roman" w:cs="Arial"/>
                <w:color w:val="000000"/>
                <w:sz w:val="20"/>
                <w:szCs w:val="20"/>
                <w:highlight w:val="yellow"/>
                <w:lang w:eastAsia="de-DE"/>
              </w:rPr>
            </w:pPr>
            <w:r w:rsidRPr="00C837A9">
              <w:rPr>
                <w:rFonts w:eastAsia="Times New Roman" w:cs="Arial"/>
                <w:color w:val="000000"/>
                <w:sz w:val="20"/>
                <w:szCs w:val="20"/>
                <w:lang w:eastAsia="de-DE"/>
              </w:rPr>
              <w:t>Decree 6</w:t>
            </w:r>
            <w:r>
              <w:rPr>
                <w:rFonts w:eastAsia="Times New Roman" w:cs="Arial"/>
                <w:color w:val="000000"/>
                <w:sz w:val="20"/>
                <w:szCs w:val="20"/>
                <w:lang w:eastAsia="de-DE"/>
              </w:rPr>
              <w:t>.</w:t>
            </w:r>
            <w:r w:rsidRPr="00C837A9">
              <w:rPr>
                <w:rFonts w:eastAsia="Times New Roman" w:cs="Arial"/>
                <w:color w:val="000000"/>
                <w:sz w:val="20"/>
                <w:szCs w:val="20"/>
                <w:lang w:eastAsia="de-DE"/>
              </w:rPr>
              <w:t>092/2016: Energy Policy of the Republic of Paraguay</w:t>
            </w:r>
          </w:p>
        </w:tc>
        <w:tc>
          <w:tcPr>
            <w:tcW w:w="3562" w:type="dxa"/>
            <w:noWrap/>
          </w:tcPr>
          <w:p w14:paraId="60321F0A" w14:textId="6F1B90D3"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3F099C">
              <w:rPr>
                <w:rFonts w:eastAsia="Times New Roman" w:cs="Arial"/>
                <w:color w:val="000000"/>
                <w:sz w:val="20"/>
                <w:szCs w:val="20"/>
                <w:lang w:eastAsia="de-DE"/>
              </w:rPr>
              <w:t xml:space="preserve">This decree implements the country's energy policy. The strategic vision of the policy is to respond satisfactorily to the population and productive sectors energy needs, while respecting socio-environmental and efficiency criteria. One of the main </w:t>
            </w:r>
            <w:proofErr w:type="gramStart"/>
            <w:r w:rsidRPr="003F099C">
              <w:rPr>
                <w:rFonts w:eastAsia="Times New Roman" w:cs="Arial"/>
                <w:color w:val="000000"/>
                <w:sz w:val="20"/>
                <w:szCs w:val="20"/>
                <w:lang w:eastAsia="de-DE"/>
              </w:rPr>
              <w:t>objective</w:t>
            </w:r>
            <w:proofErr w:type="gramEnd"/>
            <w:r w:rsidRPr="003F099C">
              <w:rPr>
                <w:rFonts w:eastAsia="Times New Roman" w:cs="Arial"/>
                <w:color w:val="000000"/>
                <w:sz w:val="20"/>
                <w:szCs w:val="20"/>
                <w:lang w:eastAsia="de-DE"/>
              </w:rPr>
              <w:t xml:space="preserve"> of the policy is to use hydro, biomass and other renewable resources to attend the demand. The document lists </w:t>
            </w:r>
            <w:proofErr w:type="gramStart"/>
            <w:r w:rsidRPr="003F099C">
              <w:rPr>
                <w:rFonts w:eastAsia="Times New Roman" w:cs="Arial"/>
                <w:color w:val="000000"/>
                <w:sz w:val="20"/>
                <w:szCs w:val="20"/>
                <w:lang w:eastAsia="de-DE"/>
              </w:rPr>
              <w:t>a number of</w:t>
            </w:r>
            <w:proofErr w:type="gramEnd"/>
            <w:r w:rsidRPr="003F099C">
              <w:rPr>
                <w:rFonts w:eastAsia="Times New Roman" w:cs="Arial"/>
                <w:color w:val="000000"/>
                <w:sz w:val="20"/>
                <w:szCs w:val="20"/>
                <w:lang w:eastAsia="de-DE"/>
              </w:rPr>
              <w:t xml:space="preserve"> action plan, such as the action plan for energy efficiency, to be implemented in order to reach Paraguay's overarching energy goals.</w:t>
            </w:r>
          </w:p>
        </w:tc>
        <w:tc>
          <w:tcPr>
            <w:tcW w:w="2948" w:type="dxa"/>
            <w:noWrap/>
          </w:tcPr>
          <w:p w14:paraId="7DDDB39F"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B24768">
              <w:rPr>
                <w:rFonts w:eastAsia="Times New Roman" w:cs="Arial"/>
                <w:color w:val="000000"/>
                <w:sz w:val="20"/>
                <w:szCs w:val="20"/>
                <w:lang w:eastAsia="de-DE"/>
              </w:rPr>
              <w:t>Ministry of Public Works and Communications</w:t>
            </w:r>
          </w:p>
        </w:tc>
      </w:tr>
      <w:tr w:rsidR="00873187" w:rsidRPr="00102605" w14:paraId="2BB5DE9F"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B9E8D2A" w14:textId="77777777" w:rsidR="00CB589A" w:rsidRPr="0085413B" w:rsidRDefault="00CB589A" w:rsidP="00E2502C">
            <w:pPr>
              <w:jc w:val="left"/>
              <w:rPr>
                <w:rFonts w:eastAsia="Times New Roman" w:cs="Arial"/>
                <w:color w:val="000000"/>
                <w:sz w:val="20"/>
                <w:szCs w:val="20"/>
                <w:highlight w:val="yellow"/>
                <w:lang w:eastAsia="de-DE"/>
              </w:rPr>
            </w:pPr>
            <w:r w:rsidRPr="005A60AF">
              <w:rPr>
                <w:rFonts w:eastAsia="Times New Roman" w:cs="Arial"/>
                <w:color w:val="000000"/>
                <w:sz w:val="20"/>
                <w:szCs w:val="20"/>
                <w:lang w:eastAsia="de-DE"/>
              </w:rPr>
              <w:t>Decree 4</w:t>
            </w:r>
            <w:r>
              <w:rPr>
                <w:rFonts w:eastAsia="Times New Roman" w:cs="Arial"/>
                <w:color w:val="000000"/>
                <w:sz w:val="20"/>
                <w:szCs w:val="20"/>
                <w:lang w:eastAsia="de-DE"/>
              </w:rPr>
              <w:t>.</w:t>
            </w:r>
            <w:r w:rsidRPr="005A60AF">
              <w:rPr>
                <w:rFonts w:eastAsia="Times New Roman" w:cs="Arial"/>
                <w:color w:val="000000"/>
                <w:sz w:val="20"/>
                <w:szCs w:val="20"/>
                <w:lang w:eastAsia="de-DE"/>
              </w:rPr>
              <w:t>056</w:t>
            </w:r>
            <w:r>
              <w:rPr>
                <w:rFonts w:eastAsia="Times New Roman" w:cs="Arial"/>
                <w:color w:val="000000"/>
                <w:sz w:val="20"/>
                <w:szCs w:val="20"/>
                <w:lang w:eastAsia="de-DE"/>
              </w:rPr>
              <w:t>/15</w:t>
            </w:r>
            <w:r w:rsidRPr="005A60AF">
              <w:rPr>
                <w:rFonts w:eastAsia="Times New Roman" w:cs="Arial"/>
                <w:color w:val="000000"/>
                <w:sz w:val="20"/>
                <w:szCs w:val="20"/>
                <w:lang w:eastAsia="de-DE"/>
              </w:rPr>
              <w:t xml:space="preserve"> to establish regimes for sustainable use of bioenergy resources</w:t>
            </w:r>
          </w:p>
        </w:tc>
        <w:tc>
          <w:tcPr>
            <w:tcW w:w="3562" w:type="dxa"/>
            <w:noWrap/>
          </w:tcPr>
          <w:p w14:paraId="0C9A807E"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4F4C63">
              <w:rPr>
                <w:rFonts w:eastAsia="Times New Roman" w:cs="Arial"/>
                <w:color w:val="000000"/>
                <w:sz w:val="20"/>
                <w:szCs w:val="20"/>
                <w:lang w:eastAsia="de-DE"/>
              </w:rPr>
              <w:t xml:space="preserve">This Decree mandates the Ministry of Public Works and Communications to set regimes of certification, </w:t>
            </w:r>
            <w:proofErr w:type="gramStart"/>
            <w:r w:rsidRPr="004F4C63">
              <w:rPr>
                <w:rFonts w:eastAsia="Times New Roman" w:cs="Arial"/>
                <w:color w:val="000000"/>
                <w:sz w:val="20"/>
                <w:szCs w:val="20"/>
                <w:lang w:eastAsia="de-DE"/>
              </w:rPr>
              <w:t>control</w:t>
            </w:r>
            <w:proofErr w:type="gramEnd"/>
            <w:r w:rsidRPr="004F4C63">
              <w:rPr>
                <w:rFonts w:eastAsia="Times New Roman" w:cs="Arial"/>
                <w:color w:val="000000"/>
                <w:sz w:val="20"/>
                <w:szCs w:val="20"/>
                <w:lang w:eastAsia="de-DE"/>
              </w:rPr>
              <w:t xml:space="preserve"> and promotion of the use of bioenergy in Paraguay. The Regulation for the Certification of Solid Biomass for Energy purposes will be implemented gradually and must contain the following percentages: for the first year of its implementation, consumers must use at least thirty percent (30%) of Certified </w:t>
            </w:r>
            <w:proofErr w:type="spellStart"/>
            <w:r w:rsidRPr="004F4C63">
              <w:rPr>
                <w:rFonts w:eastAsia="Times New Roman" w:cs="Arial"/>
                <w:color w:val="000000"/>
                <w:sz w:val="20"/>
                <w:szCs w:val="20"/>
                <w:lang w:eastAsia="de-DE"/>
              </w:rPr>
              <w:t>Bioenergies</w:t>
            </w:r>
            <w:proofErr w:type="spellEnd"/>
            <w:r w:rsidRPr="004F4C63">
              <w:rPr>
                <w:rFonts w:eastAsia="Times New Roman" w:cs="Arial"/>
                <w:color w:val="000000"/>
                <w:sz w:val="20"/>
                <w:szCs w:val="20"/>
                <w:lang w:eastAsia="de-DE"/>
              </w:rPr>
              <w:t xml:space="preserve"> by the national enforcement authority; in the second year, at least fifty percent (50%); for the third year, at least seventy percent (70%) in the fourth year, ninety percent (90%); and for the fifth year one hundred percent (100%) of the consumption with sources of Certified </w:t>
            </w:r>
            <w:proofErr w:type="spellStart"/>
            <w:r w:rsidRPr="004F4C63">
              <w:rPr>
                <w:rFonts w:eastAsia="Times New Roman" w:cs="Arial"/>
                <w:color w:val="000000"/>
                <w:sz w:val="20"/>
                <w:szCs w:val="20"/>
                <w:lang w:eastAsia="de-DE"/>
              </w:rPr>
              <w:t>Bioenergies</w:t>
            </w:r>
            <w:proofErr w:type="spellEnd"/>
            <w:r w:rsidRPr="004F4C63">
              <w:rPr>
                <w:rFonts w:eastAsia="Times New Roman" w:cs="Arial"/>
                <w:color w:val="000000"/>
                <w:sz w:val="20"/>
                <w:szCs w:val="20"/>
                <w:lang w:eastAsia="de-DE"/>
              </w:rPr>
              <w:t>.</w:t>
            </w:r>
          </w:p>
        </w:tc>
        <w:tc>
          <w:tcPr>
            <w:tcW w:w="2948" w:type="dxa"/>
            <w:noWrap/>
          </w:tcPr>
          <w:p w14:paraId="1E401B8C"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B24768">
              <w:rPr>
                <w:rFonts w:eastAsia="Times New Roman" w:cs="Arial"/>
                <w:color w:val="000000"/>
                <w:sz w:val="20"/>
                <w:szCs w:val="20"/>
                <w:lang w:eastAsia="de-DE"/>
              </w:rPr>
              <w:t>Ministry of Public Works and Communications</w:t>
            </w:r>
          </w:p>
        </w:tc>
      </w:tr>
      <w:tr w:rsidR="00873187" w:rsidRPr="00102605" w14:paraId="53F3034E"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FB03AF1" w14:textId="77777777" w:rsidR="00CB589A" w:rsidRPr="0085413B" w:rsidRDefault="00CB589A" w:rsidP="00E2502C">
            <w:pPr>
              <w:jc w:val="left"/>
              <w:rPr>
                <w:rFonts w:eastAsia="Times New Roman" w:cs="Arial"/>
                <w:color w:val="000000"/>
                <w:sz w:val="20"/>
                <w:szCs w:val="20"/>
                <w:highlight w:val="yellow"/>
                <w:lang w:eastAsia="de-DE"/>
              </w:rPr>
            </w:pPr>
            <w:r w:rsidRPr="00BF2864">
              <w:rPr>
                <w:rFonts w:eastAsia="Times New Roman" w:cs="Arial"/>
                <w:color w:val="000000"/>
                <w:sz w:val="20"/>
                <w:szCs w:val="20"/>
                <w:lang w:eastAsia="de-DE"/>
              </w:rPr>
              <w:t>National Climate Change Adaptation Strategy (National Climate Change Plan)</w:t>
            </w:r>
          </w:p>
        </w:tc>
        <w:tc>
          <w:tcPr>
            <w:tcW w:w="3562" w:type="dxa"/>
            <w:noWrap/>
          </w:tcPr>
          <w:p w14:paraId="16D1F6E3" w14:textId="78BE65F8" w:rsidR="00CB589A" w:rsidRPr="00B656E2"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B656E2">
              <w:rPr>
                <w:rFonts w:eastAsia="Times New Roman" w:cs="Arial"/>
                <w:color w:val="000000"/>
                <w:sz w:val="20"/>
                <w:szCs w:val="20"/>
                <w:lang w:eastAsia="de-DE"/>
              </w:rPr>
              <w:t>The National Climate Change Adaptation Strategy (ENACC) aims to increase the country's response capacity and reduce vulnerability to climate change by integrating into development planning risk management and control of foreseeable impacts. The document presents the institutional framework, the current public policy instruments, and lines of action grouped into 5 components: research and technological innovation, diffusion of climate change challenges and opportunities, strengthening of environmental governance, mainstreaming of climate change issues, and implementation of risk reduction and adaptation policies.</w:t>
            </w:r>
          </w:p>
          <w:p w14:paraId="0FF912F2"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B656E2">
              <w:rPr>
                <w:rFonts w:eastAsia="Times New Roman" w:cs="Arial"/>
                <w:color w:val="000000"/>
                <w:sz w:val="20"/>
                <w:szCs w:val="20"/>
                <w:lang w:eastAsia="de-DE"/>
              </w:rPr>
              <w:t>An implementation plan was submitted to UNFCCC in 2017</w:t>
            </w:r>
            <w:r>
              <w:rPr>
                <w:rStyle w:val="Refdenotaalpie"/>
                <w:rFonts w:eastAsia="Times New Roman" w:cs="Arial"/>
                <w:color w:val="000000"/>
                <w:sz w:val="20"/>
                <w:szCs w:val="20"/>
                <w:lang w:eastAsia="de-DE"/>
              </w:rPr>
              <w:footnoteReference w:id="17"/>
            </w:r>
            <w:r w:rsidRPr="00B656E2">
              <w:rPr>
                <w:rFonts w:eastAsia="Times New Roman" w:cs="Arial"/>
                <w:color w:val="000000"/>
                <w:sz w:val="20"/>
                <w:szCs w:val="20"/>
                <w:lang w:eastAsia="de-DE"/>
              </w:rPr>
              <w:t>.</w:t>
            </w:r>
          </w:p>
        </w:tc>
        <w:tc>
          <w:tcPr>
            <w:tcW w:w="2948" w:type="dxa"/>
            <w:noWrap/>
          </w:tcPr>
          <w:p w14:paraId="61589565"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102605" w14:paraId="6CF8AA82"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CE56933" w14:textId="77777777" w:rsidR="00CB589A" w:rsidRPr="0085413B" w:rsidRDefault="00CB589A" w:rsidP="00E2502C">
            <w:pPr>
              <w:jc w:val="left"/>
              <w:rPr>
                <w:rFonts w:eastAsia="Times New Roman" w:cs="Arial"/>
                <w:color w:val="000000"/>
                <w:sz w:val="20"/>
                <w:szCs w:val="20"/>
                <w:highlight w:val="yellow"/>
                <w:lang w:eastAsia="de-DE"/>
              </w:rPr>
            </w:pPr>
            <w:r w:rsidRPr="00EA5DEC">
              <w:rPr>
                <w:rFonts w:eastAsia="Times New Roman" w:cs="Arial"/>
                <w:color w:val="000000"/>
                <w:sz w:val="20"/>
                <w:szCs w:val="20"/>
                <w:lang w:eastAsia="de-DE"/>
              </w:rPr>
              <w:t>Decree 2</w:t>
            </w:r>
            <w:r>
              <w:rPr>
                <w:rFonts w:eastAsia="Times New Roman" w:cs="Arial"/>
                <w:color w:val="000000"/>
                <w:sz w:val="20"/>
                <w:szCs w:val="20"/>
                <w:lang w:eastAsia="de-DE"/>
              </w:rPr>
              <w:t>.</w:t>
            </w:r>
            <w:r w:rsidRPr="00EA5DEC">
              <w:rPr>
                <w:rFonts w:eastAsia="Times New Roman" w:cs="Arial"/>
                <w:color w:val="000000"/>
                <w:sz w:val="20"/>
                <w:szCs w:val="20"/>
                <w:lang w:eastAsia="de-DE"/>
              </w:rPr>
              <w:t>794</w:t>
            </w:r>
            <w:r>
              <w:rPr>
                <w:rFonts w:eastAsia="Times New Roman" w:cs="Arial"/>
                <w:color w:val="000000"/>
                <w:sz w:val="20"/>
                <w:szCs w:val="20"/>
                <w:lang w:eastAsia="de-DE"/>
              </w:rPr>
              <w:t>/14</w:t>
            </w:r>
            <w:r w:rsidRPr="00EA5DEC">
              <w:rPr>
                <w:rFonts w:eastAsia="Times New Roman" w:cs="Arial"/>
                <w:color w:val="000000"/>
                <w:sz w:val="20"/>
                <w:szCs w:val="20"/>
                <w:lang w:eastAsia="de-DE"/>
              </w:rPr>
              <w:t>: National Development Plan 2030</w:t>
            </w:r>
          </w:p>
        </w:tc>
        <w:tc>
          <w:tcPr>
            <w:tcW w:w="3562" w:type="dxa"/>
            <w:noWrap/>
          </w:tcPr>
          <w:p w14:paraId="280188B2" w14:textId="77777777" w:rsidR="00CB589A" w:rsidRPr="003C2FD5"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3C2FD5">
              <w:rPr>
                <w:rFonts w:eastAsia="Times New Roman" w:cs="Arial"/>
                <w:color w:val="000000"/>
                <w:sz w:val="20"/>
                <w:szCs w:val="20"/>
                <w:lang w:eastAsia="de-DE"/>
              </w:rPr>
              <w:t>This Decree approves the National Development Plan 2030. The PND Paraguay 2030 is a strategic document that will facilitate the coordination of actions in the sectoral instances of the executive power, as well as with different levels of government, civil society, private sector and, eventually, the Legislative and Judicial branches. The Plan sets Climate change mitigation as one goal of global insertion for the country. The Plan further aims at making Paraguayan’s economic production sustainable. Adaptation to climate change is also pursued through the following goals:</w:t>
            </w:r>
          </w:p>
          <w:p w14:paraId="5DE5CCDC" w14:textId="77777777" w:rsidR="00CB589A" w:rsidRPr="006A7524" w:rsidRDefault="00CB589A" w:rsidP="00CB589A">
            <w:pPr>
              <w:pStyle w:val="Prrafodelista"/>
              <w:numPr>
                <w:ilvl w:val="0"/>
                <w:numId w:val="7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6A7524">
              <w:rPr>
                <w:rFonts w:eastAsia="Times New Roman" w:cs="Arial"/>
                <w:color w:val="000000"/>
                <w:sz w:val="20"/>
                <w:szCs w:val="20"/>
                <w:lang w:eastAsia="de-DE"/>
              </w:rPr>
              <w:t>Restore at least 20 % of degraded ecosystems.</w:t>
            </w:r>
          </w:p>
          <w:p w14:paraId="53F0F69A" w14:textId="77777777" w:rsidR="00CB589A" w:rsidRPr="006A7524" w:rsidRDefault="00CB589A" w:rsidP="00CB589A">
            <w:pPr>
              <w:pStyle w:val="Prrafodelista"/>
              <w:numPr>
                <w:ilvl w:val="0"/>
                <w:numId w:val="7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6A7524">
              <w:rPr>
                <w:rFonts w:eastAsia="Times New Roman" w:cs="Arial"/>
                <w:color w:val="000000"/>
                <w:sz w:val="20"/>
                <w:szCs w:val="20"/>
                <w:lang w:eastAsia="de-DE"/>
              </w:rPr>
              <w:t>Increase national income from the sale of environmental services (credits by carbon sinks).</w:t>
            </w:r>
          </w:p>
          <w:p w14:paraId="5E315440" w14:textId="77777777" w:rsidR="00CB589A" w:rsidRPr="006A7524" w:rsidRDefault="00CB589A" w:rsidP="00CB589A">
            <w:pPr>
              <w:pStyle w:val="Prrafodelista"/>
              <w:numPr>
                <w:ilvl w:val="0"/>
                <w:numId w:val="7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6A7524">
              <w:rPr>
                <w:rFonts w:eastAsia="Times New Roman" w:cs="Arial"/>
                <w:color w:val="000000"/>
                <w:sz w:val="20"/>
                <w:szCs w:val="20"/>
                <w:lang w:eastAsia="de-DE"/>
              </w:rPr>
              <w:t>Reduce recovery costs in the event of disasters caused by climatic effects.</w:t>
            </w:r>
          </w:p>
          <w:p w14:paraId="257A0114" w14:textId="77777777" w:rsidR="00CB589A" w:rsidRDefault="00CB589A" w:rsidP="00CB589A">
            <w:pPr>
              <w:pStyle w:val="Prrafodelista"/>
              <w:numPr>
                <w:ilvl w:val="0"/>
                <w:numId w:val="7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6A7524">
              <w:rPr>
                <w:rFonts w:eastAsia="Times New Roman" w:cs="Arial"/>
                <w:color w:val="000000"/>
                <w:sz w:val="20"/>
                <w:szCs w:val="20"/>
                <w:lang w:eastAsia="de-DE"/>
              </w:rPr>
              <w:t>Exploit aquifers based on environmental plans duly monitored.</w:t>
            </w:r>
          </w:p>
          <w:p w14:paraId="54883056" w14:textId="77777777" w:rsidR="00CB589A" w:rsidRPr="001802AE" w:rsidRDefault="00CB589A" w:rsidP="00CB589A">
            <w:pPr>
              <w:pStyle w:val="Prrafodelista"/>
              <w:numPr>
                <w:ilvl w:val="0"/>
                <w:numId w:val="7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802AE">
              <w:rPr>
                <w:rFonts w:eastAsia="Times New Roman" w:cs="Arial"/>
                <w:color w:val="000000"/>
                <w:sz w:val="20"/>
                <w:szCs w:val="20"/>
                <w:lang w:eastAsia="de-DE"/>
              </w:rPr>
              <w:t>Increase the coverage of forest areas and protected biomass (% coverage) forest and % weighted by global biomass).</w:t>
            </w:r>
          </w:p>
        </w:tc>
        <w:tc>
          <w:tcPr>
            <w:tcW w:w="2948" w:type="dxa"/>
            <w:noWrap/>
          </w:tcPr>
          <w:p w14:paraId="07B32571"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A623B">
              <w:rPr>
                <w:rFonts w:eastAsia="Times New Roman" w:cs="Arial"/>
                <w:color w:val="000000"/>
                <w:sz w:val="20"/>
                <w:szCs w:val="20"/>
                <w:lang w:eastAsia="de-DE"/>
              </w:rPr>
              <w:t>Ministry of Finance</w:t>
            </w:r>
          </w:p>
        </w:tc>
      </w:tr>
      <w:tr w:rsidR="00873187" w:rsidRPr="00102605" w14:paraId="297DBBDB"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5684284" w14:textId="77777777" w:rsidR="00CB589A" w:rsidRPr="0085413B" w:rsidRDefault="00CB589A" w:rsidP="00E2502C">
            <w:pPr>
              <w:jc w:val="left"/>
              <w:rPr>
                <w:rFonts w:eastAsia="Times New Roman" w:cs="Arial"/>
                <w:color w:val="000000"/>
                <w:sz w:val="20"/>
                <w:szCs w:val="20"/>
                <w:highlight w:val="yellow"/>
                <w:lang w:eastAsia="de-DE"/>
              </w:rPr>
            </w:pPr>
            <w:r w:rsidRPr="003C2FD5">
              <w:rPr>
                <w:rFonts w:eastAsia="Times New Roman" w:cs="Arial"/>
                <w:color w:val="000000"/>
                <w:sz w:val="20"/>
                <w:szCs w:val="20"/>
                <w:lang w:eastAsia="de-DE"/>
              </w:rPr>
              <w:t>Mitigation Strategy (National Climate Change Plan)</w:t>
            </w:r>
          </w:p>
        </w:tc>
        <w:tc>
          <w:tcPr>
            <w:tcW w:w="3562" w:type="dxa"/>
            <w:noWrap/>
          </w:tcPr>
          <w:p w14:paraId="4BCC9067"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831DEC">
              <w:rPr>
                <w:rFonts w:eastAsia="Times New Roman" w:cs="Arial"/>
                <w:color w:val="000000"/>
                <w:sz w:val="20"/>
                <w:szCs w:val="20"/>
                <w:lang w:eastAsia="de-DE"/>
              </w:rPr>
              <w:t>This strategy aims to allow for the implementation of processes and competencies of all the sectors involved to reduce the adverse impacts of climate change responsibly, in an efficient and participatory manner, also favouring environmental protection.</w:t>
            </w:r>
          </w:p>
        </w:tc>
        <w:tc>
          <w:tcPr>
            <w:tcW w:w="2948" w:type="dxa"/>
            <w:noWrap/>
          </w:tcPr>
          <w:p w14:paraId="01CCA014"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102605" w14:paraId="175B07EF"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1E43FC0" w14:textId="77777777" w:rsidR="00CB589A" w:rsidRPr="0085413B" w:rsidRDefault="00CB589A" w:rsidP="00E2502C">
            <w:pPr>
              <w:jc w:val="left"/>
              <w:rPr>
                <w:rFonts w:eastAsia="Times New Roman" w:cs="Arial"/>
                <w:color w:val="000000"/>
                <w:sz w:val="20"/>
                <w:szCs w:val="20"/>
                <w:highlight w:val="yellow"/>
                <w:lang w:eastAsia="de-DE"/>
              </w:rPr>
            </w:pPr>
            <w:r w:rsidRPr="00831DEC">
              <w:rPr>
                <w:rFonts w:eastAsia="Times New Roman" w:cs="Arial"/>
                <w:color w:val="000000"/>
                <w:sz w:val="20"/>
                <w:szCs w:val="20"/>
                <w:lang w:eastAsia="de-DE"/>
              </w:rPr>
              <w:t>National Climate Change Policy</w:t>
            </w:r>
          </w:p>
        </w:tc>
        <w:tc>
          <w:tcPr>
            <w:tcW w:w="3562" w:type="dxa"/>
            <w:noWrap/>
          </w:tcPr>
          <w:p w14:paraId="4C6E6358" w14:textId="3B5AC977" w:rsidR="00CB589A" w:rsidRPr="00014C1A"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014C1A">
              <w:rPr>
                <w:rFonts w:eastAsia="Times New Roman" w:cs="Arial"/>
                <w:color w:val="000000"/>
                <w:sz w:val="20"/>
                <w:szCs w:val="20"/>
                <w:lang w:eastAsia="de-DE"/>
              </w:rPr>
              <w:t xml:space="preserve">This document set the country's climate change mitigation and adaptation policy. It aims to install the topic of Climate Change at the national level and to promote the implementation of articulated measures that are coherent with the priorities of national development and the consolidation of a social state of law, and that point to the sustainability of the system. Gender, cultural </w:t>
            </w:r>
            <w:proofErr w:type="gramStart"/>
            <w:r w:rsidRPr="00014C1A">
              <w:rPr>
                <w:rFonts w:eastAsia="Times New Roman" w:cs="Arial"/>
                <w:color w:val="000000"/>
                <w:sz w:val="20"/>
                <w:szCs w:val="20"/>
                <w:lang w:eastAsia="de-DE"/>
              </w:rPr>
              <w:t>diversity</w:t>
            </w:r>
            <w:proofErr w:type="gramEnd"/>
            <w:r w:rsidRPr="00014C1A">
              <w:rPr>
                <w:rFonts w:eastAsia="Times New Roman" w:cs="Arial"/>
                <w:color w:val="000000"/>
                <w:sz w:val="20"/>
                <w:szCs w:val="20"/>
                <w:lang w:eastAsia="de-DE"/>
              </w:rPr>
              <w:t xml:space="preserve"> and the state of law are established as three transversal priorities. </w:t>
            </w:r>
          </w:p>
          <w:p w14:paraId="41E60275" w14:textId="77777777" w:rsidR="00CB589A" w:rsidRPr="00014C1A"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
          <w:p w14:paraId="2FF91407"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014C1A">
              <w:rPr>
                <w:rFonts w:eastAsia="Times New Roman" w:cs="Arial"/>
                <w:color w:val="000000"/>
                <w:sz w:val="20"/>
                <w:szCs w:val="20"/>
                <w:lang w:eastAsia="de-DE"/>
              </w:rPr>
              <w:t>The Policy notably seeks to 1) strengthen transversal and specific institutional capabilities, 2) promote the search and obtain funding sources to face climate risks, 3) improve education and raise public awareness, 4) improve technology and human capacities, and 5) reduce greenhouse gases emissions based on general and sectoral objectives.</w:t>
            </w:r>
          </w:p>
        </w:tc>
        <w:tc>
          <w:tcPr>
            <w:tcW w:w="2948" w:type="dxa"/>
            <w:noWrap/>
          </w:tcPr>
          <w:p w14:paraId="01821C00"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102605" w14:paraId="7A282811"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2A0C2CF" w14:textId="2C50B245" w:rsidR="00CB589A" w:rsidRPr="0085413B" w:rsidRDefault="00CB589A" w:rsidP="00E2502C">
            <w:pPr>
              <w:jc w:val="left"/>
              <w:rPr>
                <w:rFonts w:eastAsia="Times New Roman" w:cs="Arial"/>
                <w:color w:val="000000"/>
                <w:sz w:val="20"/>
                <w:szCs w:val="20"/>
                <w:highlight w:val="yellow"/>
                <w:lang w:eastAsia="de-DE"/>
              </w:rPr>
            </w:pPr>
            <w:r w:rsidRPr="00014C1A">
              <w:rPr>
                <w:rFonts w:eastAsia="Times New Roman" w:cs="Arial"/>
                <w:color w:val="000000"/>
                <w:sz w:val="20"/>
                <w:szCs w:val="20"/>
                <w:lang w:eastAsia="de-DE"/>
              </w:rPr>
              <w:t>Resolution 941/07 defining 'forest' for carbon capture and reduction projects</w:t>
            </w:r>
          </w:p>
        </w:tc>
        <w:tc>
          <w:tcPr>
            <w:tcW w:w="3562" w:type="dxa"/>
            <w:noWrap/>
          </w:tcPr>
          <w:p w14:paraId="1C5E8433" w14:textId="18524571"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4061D8">
              <w:rPr>
                <w:rFonts w:eastAsia="Times New Roman" w:cs="Arial"/>
                <w:color w:val="000000"/>
                <w:sz w:val="20"/>
                <w:szCs w:val="20"/>
                <w:lang w:eastAsia="de-DE"/>
              </w:rPr>
              <w:t xml:space="preserve">This resolution defines the exact meaning of "forest" as regard its carbon sink property. Art. 2 recommends </w:t>
            </w:r>
            <w:proofErr w:type="gramStart"/>
            <w:r w:rsidRPr="004061D8">
              <w:rPr>
                <w:rFonts w:eastAsia="Times New Roman" w:cs="Arial"/>
                <w:color w:val="000000"/>
                <w:sz w:val="20"/>
                <w:szCs w:val="20"/>
                <w:lang w:eastAsia="de-DE"/>
              </w:rPr>
              <w:t>to take</w:t>
            </w:r>
            <w:proofErr w:type="gramEnd"/>
            <w:r w:rsidRPr="004061D8">
              <w:rPr>
                <w:rFonts w:eastAsia="Times New Roman" w:cs="Arial"/>
                <w:color w:val="000000"/>
                <w:sz w:val="20"/>
                <w:szCs w:val="20"/>
                <w:lang w:eastAsia="de-DE"/>
              </w:rPr>
              <w:t xml:space="preserve"> the following values for the national definition of forests for the development of projects within the framework of the Clean Development Mechanisms in Paraguay: 1) Minimum area: 0.5 hectares, 2) Cup coverage. 25%, 3) Height at maturity: 5 meters.</w:t>
            </w:r>
          </w:p>
        </w:tc>
        <w:tc>
          <w:tcPr>
            <w:tcW w:w="2948" w:type="dxa"/>
            <w:noWrap/>
          </w:tcPr>
          <w:p w14:paraId="71025BE3"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102605" w14:paraId="4296E40A"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ECDA7A1" w14:textId="273EBDB8" w:rsidR="00CB589A" w:rsidRPr="00D444B8" w:rsidRDefault="00CB589A" w:rsidP="00E2502C">
            <w:pPr>
              <w:jc w:val="left"/>
              <w:rPr>
                <w:rFonts w:eastAsia="Times New Roman" w:cs="Arial"/>
                <w:color w:val="000000"/>
                <w:sz w:val="20"/>
                <w:szCs w:val="20"/>
                <w:lang w:eastAsia="de-DE"/>
              </w:rPr>
            </w:pPr>
            <w:r w:rsidRPr="00D444B8">
              <w:rPr>
                <w:rFonts w:eastAsia="Times New Roman" w:cs="Arial"/>
                <w:color w:val="000000"/>
                <w:sz w:val="20"/>
                <w:szCs w:val="20"/>
                <w:lang w:eastAsia="de-DE"/>
              </w:rPr>
              <w:t>Law n. 6</w:t>
            </w:r>
            <w:r>
              <w:rPr>
                <w:rFonts w:eastAsia="Times New Roman" w:cs="Arial"/>
                <w:color w:val="000000"/>
                <w:sz w:val="20"/>
                <w:szCs w:val="20"/>
                <w:lang w:eastAsia="de-DE"/>
              </w:rPr>
              <w:t>.</w:t>
            </w:r>
            <w:r w:rsidRPr="00D444B8">
              <w:rPr>
                <w:rFonts w:eastAsia="Times New Roman" w:cs="Arial"/>
                <w:color w:val="000000"/>
                <w:sz w:val="20"/>
                <w:szCs w:val="20"/>
                <w:lang w:eastAsia="de-DE"/>
              </w:rPr>
              <w:t>123/2018 - elevates the Secretariat of the Environment to the rank of Ministry and changes its name to the Ministry of the Environment and Sustainable Development</w:t>
            </w:r>
          </w:p>
        </w:tc>
        <w:tc>
          <w:tcPr>
            <w:tcW w:w="3562" w:type="dxa"/>
            <w:noWrap/>
          </w:tcPr>
          <w:p w14:paraId="42A4AA5A" w14:textId="77777777" w:rsidR="00CB589A" w:rsidRPr="00D444B8"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444B8">
              <w:rPr>
                <w:rFonts w:eastAsia="Times New Roman" w:cs="Arial"/>
                <w:color w:val="000000"/>
                <w:sz w:val="20"/>
                <w:szCs w:val="20"/>
                <w:lang w:eastAsia="de-DE"/>
              </w:rPr>
              <w:t>The national environmental system was altered, changing to the Ministry of Environment and Sustainable Development.</w:t>
            </w:r>
          </w:p>
        </w:tc>
        <w:tc>
          <w:tcPr>
            <w:tcW w:w="2948" w:type="dxa"/>
            <w:noWrap/>
          </w:tcPr>
          <w:p w14:paraId="42280787"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rPr>
            </w:pPr>
            <w:r w:rsidRPr="00D444B8">
              <w:rPr>
                <w:rFonts w:cs="Arial"/>
                <w:sz w:val="20"/>
                <w:szCs w:val="20"/>
              </w:rPr>
              <w:t>Ministry of the Environment and Sustainable Development</w:t>
            </w:r>
          </w:p>
        </w:tc>
      </w:tr>
      <w:tr w:rsidR="00873187" w:rsidRPr="00102605" w14:paraId="46FD18C1"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4341043" w14:textId="77777777" w:rsidR="00CB589A" w:rsidRPr="0085413B" w:rsidRDefault="00CB589A" w:rsidP="00E2502C">
            <w:pPr>
              <w:ind w:left="708" w:hanging="708"/>
              <w:jc w:val="left"/>
              <w:rPr>
                <w:rFonts w:eastAsia="Times New Roman" w:cs="Arial"/>
                <w:b w:val="0"/>
                <w:bCs w:val="0"/>
                <w:color w:val="000000"/>
                <w:sz w:val="20"/>
                <w:szCs w:val="20"/>
                <w:lang w:eastAsia="de-DE"/>
              </w:rPr>
            </w:pPr>
            <w:r w:rsidRPr="00924E32">
              <w:rPr>
                <w:rFonts w:eastAsia="Times New Roman" w:cs="Arial"/>
                <w:color w:val="000000"/>
                <w:sz w:val="20"/>
                <w:szCs w:val="20"/>
                <w:lang w:eastAsia="de-DE"/>
              </w:rPr>
              <w:t>Law n. 1</w:t>
            </w:r>
            <w:r>
              <w:rPr>
                <w:rFonts w:eastAsia="Times New Roman" w:cs="Arial"/>
                <w:color w:val="000000"/>
                <w:sz w:val="20"/>
                <w:szCs w:val="20"/>
                <w:lang w:eastAsia="de-DE"/>
              </w:rPr>
              <w:t>.</w:t>
            </w:r>
            <w:r w:rsidRPr="00924E32">
              <w:rPr>
                <w:rFonts w:eastAsia="Times New Roman" w:cs="Arial"/>
                <w:color w:val="000000"/>
                <w:sz w:val="20"/>
                <w:szCs w:val="20"/>
                <w:lang w:eastAsia="de-DE"/>
              </w:rPr>
              <w:t xml:space="preserve">100/1997 </w:t>
            </w:r>
          </w:p>
          <w:p w14:paraId="2C60A040" w14:textId="77777777" w:rsidR="00CB589A" w:rsidRPr="0085413B" w:rsidRDefault="00CB589A" w:rsidP="00E2502C">
            <w:pPr>
              <w:ind w:left="708" w:hanging="708"/>
              <w:jc w:val="left"/>
              <w:rPr>
                <w:rFonts w:eastAsia="Times New Roman" w:cs="Arial"/>
                <w:color w:val="000000"/>
                <w:sz w:val="20"/>
                <w:szCs w:val="20"/>
                <w:highlight w:val="yellow"/>
                <w:lang w:eastAsia="de-DE"/>
              </w:rPr>
            </w:pPr>
          </w:p>
        </w:tc>
        <w:tc>
          <w:tcPr>
            <w:tcW w:w="3562" w:type="dxa"/>
            <w:noWrap/>
          </w:tcPr>
          <w:p w14:paraId="11F07CC9"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924E32">
              <w:rPr>
                <w:rFonts w:eastAsia="Times New Roman" w:cs="Arial"/>
                <w:color w:val="000000"/>
                <w:sz w:val="20"/>
                <w:szCs w:val="20"/>
                <w:lang w:eastAsia="de-DE"/>
              </w:rPr>
              <w:t>Aims to prevent noise pollution on public roads, squares, parks,</w:t>
            </w:r>
            <w:r>
              <w:rPr>
                <w:rFonts w:eastAsia="Times New Roman" w:cs="Arial"/>
                <w:color w:val="000000"/>
                <w:sz w:val="20"/>
                <w:szCs w:val="20"/>
                <w:lang w:eastAsia="de-DE"/>
              </w:rPr>
              <w:t xml:space="preserve"> </w:t>
            </w:r>
            <w:r w:rsidRPr="00924E32">
              <w:rPr>
                <w:rFonts w:eastAsia="Times New Roman" w:cs="Arial"/>
                <w:color w:val="000000"/>
                <w:sz w:val="20"/>
                <w:szCs w:val="20"/>
                <w:lang w:eastAsia="de-DE"/>
              </w:rPr>
              <w:t xml:space="preserve">sidewalks, exhibition halls, meeting </w:t>
            </w:r>
            <w:proofErr w:type="spellStart"/>
            <w:r w:rsidRPr="00924E32">
              <w:rPr>
                <w:rFonts w:eastAsia="Times New Roman" w:cs="Arial"/>
                <w:color w:val="000000"/>
                <w:sz w:val="20"/>
                <w:szCs w:val="20"/>
                <w:lang w:eastAsia="de-DE"/>
              </w:rPr>
              <w:t>centers</w:t>
            </w:r>
            <w:proofErr w:type="spellEnd"/>
            <w:r w:rsidRPr="00924E32">
              <w:rPr>
                <w:rFonts w:eastAsia="Times New Roman" w:cs="Arial"/>
                <w:color w:val="000000"/>
                <w:sz w:val="20"/>
                <w:szCs w:val="20"/>
                <w:lang w:eastAsia="de-DE"/>
              </w:rPr>
              <w:t xml:space="preserve">, </w:t>
            </w:r>
            <w:proofErr w:type="gramStart"/>
            <w:r w:rsidRPr="00924E32">
              <w:rPr>
                <w:rFonts w:eastAsia="Times New Roman" w:cs="Arial"/>
                <w:color w:val="000000"/>
                <w:sz w:val="20"/>
                <w:szCs w:val="20"/>
                <w:lang w:eastAsia="de-DE"/>
              </w:rPr>
              <w:t>sports</w:t>
            </w:r>
            <w:proofErr w:type="gramEnd"/>
            <w:r w:rsidRPr="00924E32">
              <w:rPr>
                <w:rFonts w:eastAsia="Times New Roman" w:cs="Arial"/>
                <w:color w:val="000000"/>
                <w:sz w:val="20"/>
                <w:szCs w:val="20"/>
                <w:lang w:eastAsia="de-DE"/>
              </w:rPr>
              <w:t xml:space="preserve"> and social clubs and in all public</w:t>
            </w:r>
            <w:r>
              <w:rPr>
                <w:rFonts w:eastAsia="Times New Roman" w:cs="Arial"/>
                <w:color w:val="000000"/>
                <w:sz w:val="20"/>
                <w:szCs w:val="20"/>
                <w:lang w:eastAsia="de-DE"/>
              </w:rPr>
              <w:t xml:space="preserve"> </w:t>
            </w:r>
            <w:r w:rsidRPr="00924E32">
              <w:rPr>
                <w:rFonts w:eastAsia="Times New Roman" w:cs="Arial"/>
                <w:color w:val="000000"/>
                <w:sz w:val="20"/>
                <w:szCs w:val="20"/>
                <w:lang w:eastAsia="de-DE"/>
              </w:rPr>
              <w:t>and private activities that produce noise pollution in Paraguay</w:t>
            </w:r>
            <w:r>
              <w:rPr>
                <w:rFonts w:eastAsia="Times New Roman" w:cs="Arial"/>
                <w:color w:val="000000"/>
                <w:sz w:val="20"/>
                <w:szCs w:val="20"/>
                <w:lang w:eastAsia="de-DE"/>
              </w:rPr>
              <w:t xml:space="preserve">. </w:t>
            </w:r>
            <w:r w:rsidRPr="000F2F08">
              <w:rPr>
                <w:rFonts w:eastAsia="Times New Roman" w:cs="Arial"/>
                <w:color w:val="000000"/>
                <w:sz w:val="20"/>
                <w:szCs w:val="20"/>
                <w:lang w:eastAsia="de-DE"/>
              </w:rPr>
              <w:t>Article 9</w:t>
            </w:r>
            <w:r w:rsidRPr="00ED68A3">
              <w:rPr>
                <w:rFonts w:eastAsia="Times New Roman" w:cs="Arial"/>
                <w:color w:val="000000"/>
                <w:sz w:val="20"/>
                <w:szCs w:val="20"/>
                <w:vertAlign w:val="superscript"/>
                <w:lang w:eastAsia="de-DE"/>
              </w:rPr>
              <w:t>th</w:t>
            </w:r>
            <w:r w:rsidRPr="000F2F08">
              <w:rPr>
                <w:rFonts w:eastAsia="Times New Roman" w:cs="Arial"/>
                <w:color w:val="000000"/>
                <w:sz w:val="20"/>
                <w:szCs w:val="20"/>
                <w:lang w:eastAsia="de-DE"/>
              </w:rPr>
              <w:t xml:space="preserve"> of the </w:t>
            </w:r>
            <w:proofErr w:type="gramStart"/>
            <w:r w:rsidRPr="000F2F08">
              <w:rPr>
                <w:rFonts w:eastAsia="Times New Roman" w:cs="Arial"/>
                <w:color w:val="000000"/>
                <w:sz w:val="20"/>
                <w:szCs w:val="20"/>
                <w:lang w:eastAsia="de-DE"/>
              </w:rPr>
              <w:t>aforementioned law</w:t>
            </w:r>
            <w:proofErr w:type="gramEnd"/>
            <w:r w:rsidRPr="000F2F08">
              <w:rPr>
                <w:rFonts w:eastAsia="Times New Roman" w:cs="Arial"/>
                <w:color w:val="000000"/>
                <w:sz w:val="20"/>
                <w:szCs w:val="20"/>
                <w:lang w:eastAsia="de-DE"/>
              </w:rPr>
              <w:t xml:space="preserve"> establishes the noise limits, according to the type</w:t>
            </w:r>
            <w:r>
              <w:rPr>
                <w:rFonts w:eastAsia="Times New Roman" w:cs="Arial"/>
                <w:color w:val="000000"/>
                <w:sz w:val="20"/>
                <w:szCs w:val="20"/>
                <w:lang w:eastAsia="de-DE"/>
              </w:rPr>
              <w:t xml:space="preserve"> </w:t>
            </w:r>
            <w:r w:rsidRPr="000F2F08">
              <w:rPr>
                <w:rFonts w:eastAsia="Times New Roman" w:cs="Arial"/>
                <w:color w:val="000000"/>
                <w:sz w:val="20"/>
                <w:szCs w:val="20"/>
                <w:lang w:eastAsia="de-DE"/>
              </w:rPr>
              <w:t>of environment</w:t>
            </w:r>
            <w:r>
              <w:rPr>
                <w:rFonts w:eastAsia="Times New Roman" w:cs="Arial"/>
                <w:color w:val="000000"/>
                <w:sz w:val="20"/>
                <w:szCs w:val="20"/>
                <w:lang w:eastAsia="de-DE"/>
              </w:rPr>
              <w:t>.</w:t>
            </w:r>
          </w:p>
        </w:tc>
        <w:tc>
          <w:tcPr>
            <w:tcW w:w="2948" w:type="dxa"/>
            <w:noWrap/>
          </w:tcPr>
          <w:p w14:paraId="51EFF413" w14:textId="77777777" w:rsidR="00CB589A" w:rsidRPr="0085413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CB484C">
              <w:rPr>
                <w:rFonts w:cs="Arial"/>
                <w:sz w:val="20"/>
                <w:szCs w:val="20"/>
              </w:rPr>
              <w:t>Ministry of the Environment and Sustainable Development</w:t>
            </w:r>
          </w:p>
        </w:tc>
      </w:tr>
      <w:tr w:rsidR="00873187" w:rsidRPr="00C35C51" w14:paraId="7C5DF26A"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D662219" w14:textId="77777777" w:rsidR="00CB589A" w:rsidRPr="0085413B" w:rsidRDefault="00CB589A" w:rsidP="00E2502C">
            <w:pPr>
              <w:jc w:val="left"/>
              <w:rPr>
                <w:rFonts w:eastAsia="Times New Roman" w:cs="Arial"/>
                <w:color w:val="000000"/>
                <w:sz w:val="20"/>
                <w:szCs w:val="20"/>
                <w:highlight w:val="yellow"/>
                <w:lang w:eastAsia="de-DE"/>
              </w:rPr>
            </w:pPr>
            <w:r w:rsidRPr="00752DA8">
              <w:rPr>
                <w:rFonts w:eastAsia="Times New Roman" w:cs="Arial"/>
                <w:color w:val="000000"/>
                <w:sz w:val="20"/>
                <w:szCs w:val="20"/>
                <w:lang w:eastAsia="de-DE"/>
              </w:rPr>
              <w:t>Law 422/1973 – Forestry Law</w:t>
            </w:r>
          </w:p>
        </w:tc>
        <w:tc>
          <w:tcPr>
            <w:tcW w:w="3562" w:type="dxa"/>
            <w:noWrap/>
          </w:tcPr>
          <w:p w14:paraId="3A75E386" w14:textId="759FCC4F" w:rsidR="00CB589A" w:rsidRPr="00335713"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335713">
              <w:rPr>
                <w:rFonts w:eastAsia="Times New Roman" w:cs="Arial"/>
                <w:color w:val="000000"/>
                <w:sz w:val="20"/>
                <w:szCs w:val="20"/>
                <w:lang w:eastAsia="de-DE"/>
              </w:rPr>
              <w:t>That law sets principles for use and rational management of forests and forest lands of</w:t>
            </w:r>
            <w:r w:rsidR="00AA0C68">
              <w:rPr>
                <w:rFonts w:eastAsia="Times New Roman" w:cs="Arial"/>
                <w:color w:val="000000"/>
                <w:sz w:val="20"/>
                <w:szCs w:val="20"/>
                <w:lang w:eastAsia="de-DE"/>
              </w:rPr>
              <w:t xml:space="preserve"> </w:t>
            </w:r>
            <w:r w:rsidRPr="00335713">
              <w:rPr>
                <w:rFonts w:eastAsia="Times New Roman" w:cs="Arial"/>
                <w:color w:val="000000"/>
                <w:sz w:val="20"/>
                <w:szCs w:val="20"/>
                <w:lang w:eastAsia="de-DE"/>
              </w:rPr>
              <w:t>the country, as well as the renewable natural resources that are included in the regime</w:t>
            </w:r>
            <w:r w:rsidR="00AA0C68">
              <w:rPr>
                <w:rFonts w:eastAsia="Times New Roman" w:cs="Arial"/>
                <w:color w:val="000000"/>
                <w:sz w:val="20"/>
                <w:szCs w:val="20"/>
                <w:lang w:eastAsia="de-DE"/>
              </w:rPr>
              <w:t xml:space="preserve"> </w:t>
            </w:r>
            <w:r w:rsidRPr="00335713">
              <w:rPr>
                <w:rFonts w:eastAsia="Times New Roman" w:cs="Arial"/>
                <w:color w:val="000000"/>
                <w:sz w:val="20"/>
                <w:szCs w:val="20"/>
                <w:lang w:eastAsia="de-DE"/>
              </w:rPr>
              <w:t>of this law. Likewise, it is declared of public interest and mandatory protection,</w:t>
            </w:r>
          </w:p>
          <w:p w14:paraId="57A66F68" w14:textId="77777777" w:rsidR="00CB589A"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335713">
              <w:rPr>
                <w:rFonts w:eastAsia="Times New Roman" w:cs="Arial"/>
                <w:color w:val="000000"/>
                <w:sz w:val="20"/>
                <w:szCs w:val="20"/>
                <w:lang w:eastAsia="de-DE"/>
              </w:rPr>
              <w:t xml:space="preserve">conservation, </w:t>
            </w:r>
            <w:proofErr w:type="gramStart"/>
            <w:r w:rsidRPr="00335713">
              <w:rPr>
                <w:rFonts w:eastAsia="Times New Roman" w:cs="Arial"/>
                <w:color w:val="000000"/>
                <w:sz w:val="20"/>
                <w:szCs w:val="20"/>
                <w:lang w:eastAsia="de-DE"/>
              </w:rPr>
              <w:t>improvement</w:t>
            </w:r>
            <w:proofErr w:type="gramEnd"/>
            <w:r w:rsidRPr="00335713">
              <w:rPr>
                <w:rFonts w:eastAsia="Times New Roman" w:cs="Arial"/>
                <w:color w:val="000000"/>
                <w:sz w:val="20"/>
                <w:szCs w:val="20"/>
                <w:lang w:eastAsia="de-DE"/>
              </w:rPr>
              <w:t xml:space="preserve"> and enhancement of forest resources.</w:t>
            </w:r>
          </w:p>
          <w:p w14:paraId="7814BFFC" w14:textId="08DF08D4" w:rsidR="00CB589A" w:rsidRPr="0085413B" w:rsidRDefault="00CB589A" w:rsidP="00AA0C6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sidRPr="00192F68">
              <w:rPr>
                <w:rFonts w:eastAsia="Times New Roman" w:cs="Arial"/>
                <w:color w:val="000000"/>
                <w:sz w:val="20"/>
                <w:szCs w:val="20"/>
                <w:lang w:eastAsia="de-DE"/>
              </w:rPr>
              <w:t>This law also creates the National Forest Service, dependent on the Ministry of</w:t>
            </w:r>
            <w:r w:rsidR="00AA0C68">
              <w:rPr>
                <w:rFonts w:eastAsia="Times New Roman" w:cs="Arial"/>
                <w:color w:val="000000"/>
                <w:sz w:val="20"/>
                <w:szCs w:val="20"/>
                <w:lang w:eastAsia="de-DE"/>
              </w:rPr>
              <w:t xml:space="preserve"> </w:t>
            </w:r>
            <w:r w:rsidRPr="00192F68">
              <w:rPr>
                <w:rFonts w:eastAsia="Times New Roman" w:cs="Arial"/>
                <w:color w:val="000000"/>
                <w:sz w:val="20"/>
                <w:szCs w:val="20"/>
                <w:lang w:eastAsia="de-DE"/>
              </w:rPr>
              <w:t>Agriculture and Livestock, with specific powers and attributions: to manage, promote</w:t>
            </w:r>
            <w:r w:rsidR="00AA0C68">
              <w:rPr>
                <w:rFonts w:eastAsia="Times New Roman" w:cs="Arial"/>
                <w:color w:val="000000"/>
                <w:sz w:val="20"/>
                <w:szCs w:val="20"/>
                <w:lang w:eastAsia="de-DE"/>
              </w:rPr>
              <w:t xml:space="preserve"> </w:t>
            </w:r>
            <w:r w:rsidRPr="00192F68">
              <w:rPr>
                <w:rFonts w:eastAsia="Times New Roman" w:cs="Arial"/>
                <w:color w:val="000000"/>
                <w:sz w:val="20"/>
                <w:szCs w:val="20"/>
                <w:lang w:eastAsia="de-DE"/>
              </w:rPr>
              <w:t>and develop the country's forest resources, in terms of their defence, improvement,</w:t>
            </w:r>
            <w:r w:rsidR="00AA0C68">
              <w:rPr>
                <w:rFonts w:eastAsia="Times New Roman" w:cs="Arial"/>
                <w:color w:val="000000"/>
                <w:sz w:val="20"/>
                <w:szCs w:val="20"/>
                <w:lang w:eastAsia="de-DE"/>
              </w:rPr>
              <w:t xml:space="preserve"> </w:t>
            </w:r>
            <w:r w:rsidRPr="00192F68">
              <w:rPr>
                <w:rFonts w:eastAsia="Times New Roman" w:cs="Arial"/>
                <w:color w:val="000000"/>
                <w:sz w:val="20"/>
                <w:szCs w:val="20"/>
                <w:lang w:eastAsia="de-DE"/>
              </w:rPr>
              <w:t>expansion and rational use.</w:t>
            </w:r>
          </w:p>
        </w:tc>
        <w:tc>
          <w:tcPr>
            <w:tcW w:w="2948" w:type="dxa"/>
            <w:noWrap/>
          </w:tcPr>
          <w:p w14:paraId="4F161CC8" w14:textId="77777777" w:rsidR="00CB589A" w:rsidRPr="00304481"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4B7B9B">
              <w:rPr>
                <w:rFonts w:eastAsia="Times New Roman" w:cs="Arial"/>
                <w:color w:val="000000"/>
                <w:sz w:val="20"/>
                <w:szCs w:val="20"/>
                <w:lang w:eastAsia="de-DE"/>
              </w:rPr>
              <w:t>National Forest Institute</w:t>
            </w:r>
          </w:p>
        </w:tc>
      </w:tr>
      <w:tr w:rsidR="00873187" w:rsidRPr="00A0713C" w14:paraId="328FD016"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78575E9" w14:textId="77777777" w:rsidR="00CB589A" w:rsidRPr="00A0713C" w:rsidRDefault="00CB589A" w:rsidP="00E2502C">
            <w:pPr>
              <w:jc w:val="left"/>
              <w:rPr>
                <w:rFonts w:eastAsia="Times New Roman" w:cs="Arial"/>
                <w:color w:val="000000"/>
                <w:sz w:val="20"/>
                <w:szCs w:val="20"/>
                <w:lang w:val="es-AR" w:eastAsia="de-DE"/>
              </w:rPr>
            </w:pPr>
            <w:proofErr w:type="spellStart"/>
            <w:r w:rsidRPr="00A0713C">
              <w:rPr>
                <w:rFonts w:eastAsia="Times New Roman" w:cs="Arial"/>
                <w:color w:val="000000"/>
                <w:sz w:val="20"/>
                <w:szCs w:val="20"/>
                <w:lang w:val="es-AR" w:eastAsia="de-DE"/>
              </w:rPr>
              <w:t>Law</w:t>
            </w:r>
            <w:proofErr w:type="spellEnd"/>
            <w:r w:rsidRPr="00A0713C">
              <w:rPr>
                <w:rFonts w:eastAsia="Times New Roman" w:cs="Arial"/>
                <w:color w:val="000000"/>
                <w:sz w:val="20"/>
                <w:szCs w:val="20"/>
                <w:lang w:val="es-AR" w:eastAsia="de-DE"/>
              </w:rPr>
              <w:t xml:space="preserve"> 96/92 De </w:t>
            </w:r>
            <w:proofErr w:type="spellStart"/>
            <w:r w:rsidRPr="00A0713C">
              <w:rPr>
                <w:rFonts w:eastAsia="Times New Roman" w:cs="Arial"/>
                <w:color w:val="000000"/>
                <w:sz w:val="20"/>
                <w:szCs w:val="20"/>
                <w:lang w:val="es-AR" w:eastAsia="de-DE"/>
              </w:rPr>
              <w:t>Wildlife</w:t>
            </w:r>
            <w:proofErr w:type="spellEnd"/>
            <w:r w:rsidRPr="00A0713C">
              <w:rPr>
                <w:rFonts w:eastAsia="Times New Roman" w:cs="Arial"/>
                <w:color w:val="000000"/>
                <w:sz w:val="20"/>
                <w:szCs w:val="20"/>
                <w:lang w:val="es-AR" w:eastAsia="de-DE"/>
              </w:rPr>
              <w:t xml:space="preserve"> </w:t>
            </w:r>
            <w:proofErr w:type="spellStart"/>
            <w:r w:rsidRPr="00A0713C">
              <w:rPr>
                <w:rFonts w:eastAsia="Times New Roman" w:cs="Arial"/>
                <w:color w:val="000000"/>
                <w:sz w:val="20"/>
                <w:szCs w:val="20"/>
                <w:lang w:val="es-AR" w:eastAsia="de-DE"/>
              </w:rPr>
              <w:t>Act</w:t>
            </w:r>
            <w:proofErr w:type="spellEnd"/>
            <w:r w:rsidRPr="00A0713C">
              <w:rPr>
                <w:rFonts w:eastAsia="Times New Roman" w:cs="Arial"/>
                <w:color w:val="000000"/>
                <w:sz w:val="20"/>
                <w:szCs w:val="20"/>
                <w:lang w:val="es-AR" w:eastAsia="de-DE"/>
              </w:rPr>
              <w:t xml:space="preserve"> </w:t>
            </w:r>
          </w:p>
        </w:tc>
        <w:tc>
          <w:tcPr>
            <w:tcW w:w="3562" w:type="dxa"/>
            <w:noWrap/>
          </w:tcPr>
          <w:p w14:paraId="4609262A"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A0713C">
              <w:rPr>
                <w:rFonts w:eastAsia="Times New Roman" w:cs="Arial"/>
                <w:color w:val="000000"/>
                <w:sz w:val="20"/>
                <w:szCs w:val="20"/>
                <w:lang w:val="en-US" w:eastAsia="de-DE"/>
              </w:rPr>
              <w:t xml:space="preserve">Prohibits the hunting, commercial </w:t>
            </w:r>
            <w:proofErr w:type="gramStart"/>
            <w:r w:rsidRPr="00A0713C">
              <w:rPr>
                <w:rFonts w:eastAsia="Times New Roman" w:cs="Arial"/>
                <w:color w:val="000000"/>
                <w:sz w:val="20"/>
                <w:szCs w:val="20"/>
                <w:lang w:val="en-US" w:eastAsia="de-DE"/>
              </w:rPr>
              <w:t>exploitation</w:t>
            </w:r>
            <w:proofErr w:type="gramEnd"/>
            <w:r w:rsidRPr="00A0713C">
              <w:rPr>
                <w:rFonts w:eastAsia="Times New Roman" w:cs="Arial"/>
                <w:color w:val="000000"/>
                <w:sz w:val="20"/>
                <w:szCs w:val="20"/>
                <w:lang w:val="en-US" w:eastAsia="de-DE"/>
              </w:rPr>
              <w:t xml:space="preserve"> and export of wild animals in order to guarantee the adequate protection, conservation and rational use of Paraguay´s biodiversity; this prohibition applies only to wildlife species not covered by express authorization of the Environmental Secretariat.</w:t>
            </w:r>
          </w:p>
        </w:tc>
        <w:tc>
          <w:tcPr>
            <w:tcW w:w="2948" w:type="dxa"/>
            <w:noWrap/>
          </w:tcPr>
          <w:p w14:paraId="6809EDC6"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D444B8">
              <w:rPr>
                <w:rFonts w:cs="Arial"/>
                <w:sz w:val="20"/>
                <w:szCs w:val="20"/>
              </w:rPr>
              <w:t>Ministry of the Environment and Sustainable Development</w:t>
            </w:r>
          </w:p>
        </w:tc>
      </w:tr>
      <w:tr w:rsidR="00873187" w:rsidRPr="00A0713C" w14:paraId="5E1CB547"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53D8245" w14:textId="77777777" w:rsidR="00CB589A" w:rsidRPr="00A0713C" w:rsidRDefault="00CB589A" w:rsidP="00E2502C">
            <w:pPr>
              <w:jc w:val="left"/>
              <w:rPr>
                <w:rFonts w:eastAsia="Times New Roman" w:cs="Arial"/>
                <w:color w:val="000000"/>
                <w:sz w:val="20"/>
                <w:szCs w:val="20"/>
                <w:highlight w:val="yellow"/>
                <w:lang w:val="en-US" w:eastAsia="de-DE"/>
              </w:rPr>
            </w:pPr>
            <w:proofErr w:type="spellStart"/>
            <w:r w:rsidRPr="00D4478A">
              <w:rPr>
                <w:rFonts w:eastAsia="Times New Roman" w:cs="Arial"/>
                <w:color w:val="000000"/>
                <w:sz w:val="20"/>
                <w:szCs w:val="20"/>
                <w:lang w:val="es-AR" w:eastAsia="de-DE"/>
              </w:rPr>
              <w:t>Law</w:t>
            </w:r>
            <w:proofErr w:type="spellEnd"/>
            <w:r w:rsidRPr="00D4478A">
              <w:rPr>
                <w:rFonts w:eastAsia="Times New Roman" w:cs="Arial"/>
                <w:color w:val="000000"/>
                <w:sz w:val="20"/>
                <w:szCs w:val="20"/>
                <w:lang w:val="es-AR" w:eastAsia="de-DE"/>
              </w:rPr>
              <w:t xml:space="preserve"> </w:t>
            </w:r>
            <w:proofErr w:type="spellStart"/>
            <w:r w:rsidRPr="00D4478A">
              <w:rPr>
                <w:rFonts w:eastAsia="Times New Roman" w:cs="Arial"/>
                <w:color w:val="000000"/>
                <w:sz w:val="20"/>
                <w:szCs w:val="20"/>
                <w:lang w:val="es-AR" w:eastAsia="de-DE"/>
              </w:rPr>
              <w:t>N°</w:t>
            </w:r>
            <w:proofErr w:type="spellEnd"/>
            <w:r w:rsidRPr="00D4478A">
              <w:rPr>
                <w:rFonts w:eastAsia="Times New Roman" w:cs="Arial"/>
                <w:color w:val="000000"/>
                <w:sz w:val="20"/>
                <w:szCs w:val="20"/>
                <w:lang w:val="es-AR" w:eastAsia="de-DE"/>
              </w:rPr>
              <w:t xml:space="preserve"> 369/72 </w:t>
            </w:r>
            <w:proofErr w:type="spellStart"/>
            <w:r w:rsidRPr="00D4478A">
              <w:rPr>
                <w:rFonts w:eastAsia="Times New Roman" w:cs="Arial"/>
                <w:color w:val="000000"/>
                <w:sz w:val="20"/>
                <w:szCs w:val="20"/>
                <w:lang w:val="es-AR" w:eastAsia="de-DE"/>
              </w:rPr>
              <w:t>National</w:t>
            </w:r>
            <w:proofErr w:type="spellEnd"/>
            <w:r w:rsidRPr="00D4478A">
              <w:rPr>
                <w:rFonts w:eastAsia="Times New Roman" w:cs="Arial"/>
                <w:color w:val="000000"/>
                <w:sz w:val="20"/>
                <w:szCs w:val="20"/>
                <w:lang w:val="es-AR" w:eastAsia="de-DE"/>
              </w:rPr>
              <w:t xml:space="preserve"> </w:t>
            </w:r>
            <w:proofErr w:type="spellStart"/>
            <w:r w:rsidRPr="00D4478A">
              <w:rPr>
                <w:rFonts w:eastAsia="Times New Roman" w:cs="Arial"/>
                <w:color w:val="000000"/>
                <w:sz w:val="20"/>
                <w:szCs w:val="20"/>
                <w:lang w:val="es-AR" w:eastAsia="de-DE"/>
              </w:rPr>
              <w:t>Environmental</w:t>
            </w:r>
            <w:proofErr w:type="spellEnd"/>
            <w:r w:rsidRPr="00D4478A">
              <w:rPr>
                <w:rFonts w:eastAsia="Times New Roman" w:cs="Arial"/>
                <w:color w:val="000000"/>
                <w:sz w:val="20"/>
                <w:szCs w:val="20"/>
                <w:lang w:val="es-AR" w:eastAsia="de-DE"/>
              </w:rPr>
              <w:t xml:space="preserve"> </w:t>
            </w:r>
            <w:proofErr w:type="spellStart"/>
            <w:r w:rsidRPr="00D4478A">
              <w:rPr>
                <w:rFonts w:eastAsia="Times New Roman" w:cs="Arial"/>
                <w:color w:val="000000"/>
                <w:sz w:val="20"/>
                <w:szCs w:val="20"/>
                <w:lang w:val="es-AR" w:eastAsia="de-DE"/>
              </w:rPr>
              <w:t>Sanitation</w:t>
            </w:r>
            <w:proofErr w:type="spellEnd"/>
            <w:r w:rsidRPr="00D4478A">
              <w:rPr>
                <w:rFonts w:eastAsia="Times New Roman" w:cs="Arial"/>
                <w:color w:val="000000"/>
                <w:sz w:val="20"/>
                <w:szCs w:val="20"/>
                <w:lang w:val="es-AR" w:eastAsia="de-DE"/>
              </w:rPr>
              <w:t xml:space="preserve"> </w:t>
            </w:r>
            <w:proofErr w:type="spellStart"/>
            <w:r w:rsidRPr="00D4478A">
              <w:rPr>
                <w:rFonts w:eastAsia="Times New Roman" w:cs="Arial"/>
                <w:color w:val="000000"/>
                <w:sz w:val="20"/>
                <w:szCs w:val="20"/>
                <w:lang w:val="es-AR" w:eastAsia="de-DE"/>
              </w:rPr>
              <w:t>Service</w:t>
            </w:r>
            <w:proofErr w:type="spellEnd"/>
            <w:r w:rsidRPr="00D4478A">
              <w:rPr>
                <w:rFonts w:eastAsia="Times New Roman" w:cs="Arial"/>
                <w:color w:val="000000"/>
                <w:sz w:val="20"/>
                <w:szCs w:val="20"/>
                <w:lang w:val="es-AR" w:eastAsia="de-DE"/>
              </w:rPr>
              <w:t xml:space="preserve"> (SENASA)</w:t>
            </w:r>
          </w:p>
        </w:tc>
        <w:tc>
          <w:tcPr>
            <w:tcW w:w="3562" w:type="dxa"/>
            <w:noWrap/>
          </w:tcPr>
          <w:p w14:paraId="43BB44B1" w14:textId="77777777" w:rsidR="00CB589A" w:rsidRPr="00AD6FC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AD6FCB">
              <w:rPr>
                <w:rFonts w:eastAsia="Times New Roman" w:cs="Arial"/>
                <w:color w:val="000000"/>
                <w:sz w:val="20"/>
                <w:szCs w:val="20"/>
                <w:lang w:val="en-US" w:eastAsia="de-DE"/>
              </w:rPr>
              <w:t xml:space="preserve">The National Environmental Sanitation Service (SENASA) is a body under the Ministry of Public Health and Social Welfare (MSPBS) created by law </w:t>
            </w:r>
            <w:proofErr w:type="gramStart"/>
            <w:r w:rsidRPr="00AD6FCB">
              <w:rPr>
                <w:rFonts w:eastAsia="Times New Roman" w:cs="Arial"/>
                <w:color w:val="000000"/>
                <w:sz w:val="20"/>
                <w:szCs w:val="20"/>
                <w:lang w:val="en-US" w:eastAsia="de-DE"/>
              </w:rPr>
              <w:t>369/72,</w:t>
            </w:r>
            <w:proofErr w:type="gramEnd"/>
            <w:r w:rsidRPr="00AD6FCB">
              <w:rPr>
                <w:rFonts w:eastAsia="Times New Roman" w:cs="Arial"/>
                <w:color w:val="000000"/>
                <w:sz w:val="20"/>
                <w:szCs w:val="20"/>
                <w:lang w:val="en-US" w:eastAsia="de-DE"/>
              </w:rPr>
              <w:t xml:space="preserve"> of December 1, 1972.</w:t>
            </w:r>
          </w:p>
          <w:p w14:paraId="024719EA" w14:textId="77777777" w:rsidR="00CB589A" w:rsidRPr="00AD6FCB"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
          <w:p w14:paraId="7CB9D0CA"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AD6FCB">
              <w:rPr>
                <w:rFonts w:eastAsia="Times New Roman" w:cs="Arial"/>
                <w:color w:val="000000"/>
                <w:sz w:val="20"/>
                <w:szCs w:val="20"/>
                <w:lang w:val="en-US" w:eastAsia="de-DE"/>
              </w:rPr>
              <w:t>It develops various functions in environmental sanitation activities: planning, promotion, execution of works tending to extend the supply of drinking water and sanitation. It has jurisdiction over localities of up to 10,000 inhabitants.</w:t>
            </w:r>
          </w:p>
        </w:tc>
        <w:tc>
          <w:tcPr>
            <w:tcW w:w="2948" w:type="dxa"/>
            <w:noWrap/>
          </w:tcPr>
          <w:p w14:paraId="7F8BCAB8"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AD6FCB">
              <w:rPr>
                <w:rFonts w:cs="Arial"/>
                <w:sz w:val="20"/>
                <w:szCs w:val="20"/>
              </w:rPr>
              <w:t>Ministry of Public Health and Social Welfare (MSPBS)</w:t>
            </w:r>
          </w:p>
        </w:tc>
      </w:tr>
      <w:tr w:rsidR="00873187" w:rsidRPr="00A0713C" w14:paraId="241E5F9B"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DCC5BBF" w14:textId="77777777" w:rsidR="00CB589A" w:rsidRPr="00A0713C" w:rsidRDefault="00CB589A" w:rsidP="00E2502C">
            <w:pPr>
              <w:jc w:val="left"/>
              <w:rPr>
                <w:rFonts w:eastAsia="Times New Roman" w:cs="Arial"/>
                <w:color w:val="000000"/>
                <w:sz w:val="20"/>
                <w:szCs w:val="20"/>
                <w:highlight w:val="yellow"/>
                <w:lang w:val="en-US" w:eastAsia="de-DE"/>
              </w:rPr>
            </w:pPr>
            <w:r w:rsidRPr="00D07B6F">
              <w:rPr>
                <w:rFonts w:eastAsia="Times New Roman" w:cs="Arial"/>
                <w:color w:val="000000"/>
                <w:sz w:val="20"/>
                <w:szCs w:val="20"/>
                <w:lang w:eastAsia="de-DE"/>
              </w:rPr>
              <w:t>Law 836/80 – Sanitation Code</w:t>
            </w:r>
          </w:p>
        </w:tc>
        <w:tc>
          <w:tcPr>
            <w:tcW w:w="3562" w:type="dxa"/>
            <w:noWrap/>
          </w:tcPr>
          <w:p w14:paraId="73E87052"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D07B6F">
              <w:rPr>
                <w:rFonts w:eastAsia="Times New Roman" w:cs="Arial"/>
                <w:color w:val="000000"/>
                <w:sz w:val="20"/>
                <w:szCs w:val="20"/>
                <w:lang w:eastAsia="de-DE"/>
              </w:rPr>
              <w:t>Environmental sanitation, soil contamination and pollution, and surface or groundwater (Health Code)</w:t>
            </w:r>
          </w:p>
        </w:tc>
        <w:tc>
          <w:tcPr>
            <w:tcW w:w="2948" w:type="dxa"/>
            <w:noWrap/>
          </w:tcPr>
          <w:p w14:paraId="3729F3FF"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607199">
              <w:rPr>
                <w:rFonts w:eastAsia="Times New Roman" w:cs="Arial"/>
                <w:color w:val="000000"/>
                <w:sz w:val="20"/>
                <w:szCs w:val="20"/>
                <w:lang w:val="en-US" w:eastAsia="de-DE"/>
              </w:rPr>
              <w:t>Ministry of Public Health and Social Welfare</w:t>
            </w:r>
          </w:p>
        </w:tc>
      </w:tr>
      <w:tr w:rsidR="00873187" w:rsidRPr="00A0713C" w14:paraId="6091EC45"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7DE23EC" w14:textId="77777777" w:rsidR="00CB589A" w:rsidRPr="005D5CF5" w:rsidRDefault="00CB589A" w:rsidP="00E2502C">
            <w:pPr>
              <w:jc w:val="left"/>
              <w:rPr>
                <w:color w:val="000000"/>
                <w:sz w:val="20"/>
                <w:highlight w:val="yellow"/>
                <w:lang w:val="en-US"/>
              </w:rPr>
            </w:pPr>
            <w:r w:rsidRPr="00D15C3C">
              <w:rPr>
                <w:rFonts w:eastAsia="Times New Roman" w:cs="Arial"/>
                <w:color w:val="000000"/>
                <w:sz w:val="20"/>
                <w:szCs w:val="20"/>
                <w:lang w:eastAsia="de-DE"/>
              </w:rPr>
              <w:t>Law n. 3</w:t>
            </w:r>
            <w:r>
              <w:rPr>
                <w:rFonts w:eastAsia="Times New Roman" w:cs="Arial"/>
                <w:color w:val="000000"/>
                <w:sz w:val="20"/>
                <w:szCs w:val="20"/>
                <w:lang w:eastAsia="de-DE"/>
              </w:rPr>
              <w:t>.</w:t>
            </w:r>
            <w:r w:rsidRPr="00D15C3C">
              <w:rPr>
                <w:rFonts w:eastAsia="Times New Roman" w:cs="Arial"/>
                <w:color w:val="000000"/>
                <w:sz w:val="20"/>
                <w:szCs w:val="20"/>
                <w:lang w:eastAsia="de-DE"/>
              </w:rPr>
              <w:t>966/2010 – Municipal Organizational Law</w:t>
            </w:r>
          </w:p>
        </w:tc>
        <w:tc>
          <w:tcPr>
            <w:tcW w:w="3562" w:type="dxa"/>
            <w:noWrap/>
          </w:tcPr>
          <w:p w14:paraId="1014E73C" w14:textId="77777777" w:rsidR="00CB589A" w:rsidRPr="00D15C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15C3C">
              <w:rPr>
                <w:rFonts w:eastAsia="Times New Roman" w:cs="Arial"/>
                <w:color w:val="000000"/>
                <w:sz w:val="20"/>
                <w:szCs w:val="20"/>
                <w:lang w:eastAsia="de-DE"/>
              </w:rPr>
              <w:t>Planning, urbanism, and territorial ordering, among others:</w:t>
            </w:r>
          </w:p>
          <w:p w14:paraId="0CF79BC0" w14:textId="4BA9A11E" w:rsidR="00CB589A" w:rsidRPr="00ED68A3" w:rsidRDefault="00CB589A" w:rsidP="00ED68A3">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D68A3">
              <w:rPr>
                <w:rFonts w:eastAsia="Times New Roman" w:cs="Arial"/>
                <w:color w:val="000000"/>
                <w:sz w:val="20"/>
                <w:szCs w:val="20"/>
                <w:lang w:eastAsia="de-DE"/>
              </w:rPr>
              <w:t>a) The planning of the municipality, through the Sustainable Development Plan of the Municipality and the Urban and Territorial Planning Plan</w:t>
            </w:r>
          </w:p>
          <w:p w14:paraId="121EDC03" w14:textId="77777777" w:rsidR="00CB589A" w:rsidRPr="00D15C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15C3C">
              <w:rPr>
                <w:rFonts w:eastAsia="Times New Roman" w:cs="Arial"/>
                <w:color w:val="000000"/>
                <w:sz w:val="20"/>
                <w:szCs w:val="20"/>
                <w:lang w:eastAsia="de-DE"/>
              </w:rPr>
              <w:t>Environment issues:</w:t>
            </w:r>
          </w:p>
          <w:p w14:paraId="44EB089A" w14:textId="300CD842" w:rsidR="00CB589A" w:rsidRPr="00D15C3C" w:rsidRDefault="00ED68A3"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b</w:t>
            </w:r>
            <w:r w:rsidR="00CB589A" w:rsidRPr="00D15C3C">
              <w:rPr>
                <w:rFonts w:eastAsia="Times New Roman" w:cs="Arial"/>
                <w:color w:val="000000"/>
                <w:sz w:val="20"/>
                <w:szCs w:val="20"/>
                <w:lang w:eastAsia="de-DE"/>
              </w:rPr>
              <w:t>) The preservation, conservation, re-composition, and enhancement of significant natural resources</w:t>
            </w:r>
          </w:p>
          <w:p w14:paraId="07B5C78D" w14:textId="77D11B10" w:rsidR="00CB589A" w:rsidRPr="005D5CF5" w:rsidRDefault="00ED68A3"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n-US"/>
              </w:rPr>
            </w:pPr>
            <w:r>
              <w:rPr>
                <w:rFonts w:eastAsia="Times New Roman" w:cs="Arial"/>
                <w:color w:val="000000"/>
                <w:sz w:val="20"/>
                <w:szCs w:val="20"/>
                <w:lang w:eastAsia="de-DE"/>
              </w:rPr>
              <w:t>c</w:t>
            </w:r>
            <w:r w:rsidR="00CB589A" w:rsidRPr="00D15C3C">
              <w:rPr>
                <w:rFonts w:eastAsia="Times New Roman" w:cs="Arial"/>
                <w:color w:val="000000"/>
                <w:sz w:val="20"/>
                <w:szCs w:val="20"/>
                <w:lang w:eastAsia="de-DE"/>
              </w:rPr>
              <w:t>) The regulation and supervision of standards and patterns that guarantee the environmental quality of the municipality.</w:t>
            </w:r>
          </w:p>
        </w:tc>
        <w:tc>
          <w:tcPr>
            <w:tcW w:w="2948" w:type="dxa"/>
            <w:noWrap/>
          </w:tcPr>
          <w:p w14:paraId="63B52A43" w14:textId="77777777" w:rsidR="00CB589A" w:rsidRPr="005D5CF5" w:rsidRDefault="00CB589A" w:rsidP="00E2502C">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n-US"/>
              </w:rPr>
            </w:pPr>
            <w:r w:rsidRPr="00D444B8">
              <w:rPr>
                <w:rFonts w:cs="Arial"/>
                <w:sz w:val="20"/>
                <w:szCs w:val="20"/>
              </w:rPr>
              <w:t>Ministry of the Environment and Sustainable Development</w:t>
            </w:r>
          </w:p>
        </w:tc>
      </w:tr>
      <w:tr w:rsidR="00873187" w:rsidRPr="00A0713C" w14:paraId="7421F7B0"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9C6EA00" w14:textId="77777777" w:rsidR="00CB589A" w:rsidRPr="00A0713C" w:rsidRDefault="00CB589A" w:rsidP="00E2502C">
            <w:pPr>
              <w:jc w:val="left"/>
              <w:rPr>
                <w:rFonts w:eastAsia="Times New Roman" w:cs="Arial"/>
                <w:color w:val="000000"/>
                <w:sz w:val="20"/>
                <w:szCs w:val="20"/>
                <w:highlight w:val="yellow"/>
                <w:lang w:val="en-US" w:eastAsia="de-DE"/>
              </w:rPr>
            </w:pPr>
            <w:proofErr w:type="spellStart"/>
            <w:r>
              <w:rPr>
                <w:rFonts w:eastAsia="Times New Roman" w:cs="Arial"/>
                <w:color w:val="000000"/>
                <w:sz w:val="20"/>
                <w:szCs w:val="20"/>
                <w:lang w:val="es-AR" w:eastAsia="de-DE"/>
              </w:rPr>
              <w:t>Law</w:t>
            </w:r>
            <w:proofErr w:type="spellEnd"/>
            <w:r>
              <w:rPr>
                <w:rFonts w:eastAsia="Times New Roman" w:cs="Arial"/>
                <w:color w:val="000000"/>
                <w:sz w:val="20"/>
                <w:szCs w:val="20"/>
                <w:lang w:val="es-AR" w:eastAsia="de-DE"/>
              </w:rPr>
              <w:t xml:space="preserve"> 816/96</w:t>
            </w:r>
          </w:p>
        </w:tc>
        <w:tc>
          <w:tcPr>
            <w:tcW w:w="3562" w:type="dxa"/>
            <w:noWrap/>
          </w:tcPr>
          <w:p w14:paraId="1F0BDEB0"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proofErr w:type="spellStart"/>
            <w:r w:rsidRPr="005A0CE8">
              <w:rPr>
                <w:rFonts w:eastAsia="Times New Roman" w:cs="Arial"/>
                <w:color w:val="000000"/>
                <w:sz w:val="20"/>
                <w:szCs w:val="20"/>
                <w:lang w:val="es-AR" w:eastAsia="de-DE"/>
              </w:rPr>
              <w:t>Law</w:t>
            </w:r>
            <w:proofErr w:type="spellEnd"/>
            <w:r w:rsidRPr="005A0CE8">
              <w:rPr>
                <w:rFonts w:eastAsia="Times New Roman" w:cs="Arial"/>
                <w:color w:val="000000"/>
                <w:sz w:val="20"/>
                <w:szCs w:val="20"/>
                <w:lang w:val="es-AR" w:eastAsia="de-DE"/>
              </w:rPr>
              <w:t xml:space="preserve"> </w:t>
            </w:r>
            <w:proofErr w:type="spellStart"/>
            <w:r w:rsidRPr="005A0CE8">
              <w:rPr>
                <w:rFonts w:eastAsia="Times New Roman" w:cs="Arial"/>
                <w:color w:val="000000"/>
                <w:sz w:val="20"/>
                <w:szCs w:val="20"/>
                <w:lang w:val="es-AR" w:eastAsia="de-DE"/>
              </w:rPr>
              <w:t>Defending</w:t>
            </w:r>
            <w:proofErr w:type="spellEnd"/>
            <w:r w:rsidRPr="005A0CE8">
              <w:rPr>
                <w:rFonts w:eastAsia="Times New Roman" w:cs="Arial"/>
                <w:color w:val="000000"/>
                <w:sz w:val="20"/>
                <w:szCs w:val="20"/>
                <w:lang w:val="es-AR" w:eastAsia="de-DE"/>
              </w:rPr>
              <w:t xml:space="preserve"> Natural </w:t>
            </w:r>
            <w:proofErr w:type="spellStart"/>
            <w:r w:rsidRPr="005A0CE8">
              <w:rPr>
                <w:rFonts w:eastAsia="Times New Roman" w:cs="Arial"/>
                <w:color w:val="000000"/>
                <w:sz w:val="20"/>
                <w:szCs w:val="20"/>
                <w:lang w:val="es-AR" w:eastAsia="de-DE"/>
              </w:rPr>
              <w:t>Resources</w:t>
            </w:r>
            <w:proofErr w:type="spellEnd"/>
          </w:p>
        </w:tc>
        <w:tc>
          <w:tcPr>
            <w:tcW w:w="2948" w:type="dxa"/>
            <w:noWrap/>
          </w:tcPr>
          <w:p w14:paraId="256AD3DD"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0E3259">
              <w:rPr>
                <w:rFonts w:cs="Arial"/>
                <w:sz w:val="20"/>
                <w:szCs w:val="20"/>
              </w:rPr>
              <w:t>Ministry of the Environment and Sustainable</w:t>
            </w:r>
            <w:r>
              <w:rPr>
                <w:rFonts w:cs="Arial"/>
                <w:sz w:val="20"/>
                <w:szCs w:val="20"/>
              </w:rPr>
              <w:t xml:space="preserve"> Development</w:t>
            </w:r>
          </w:p>
        </w:tc>
      </w:tr>
      <w:tr w:rsidR="00873187" w:rsidRPr="00A0713C" w14:paraId="5841490E"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8B16680" w14:textId="77777777" w:rsidR="00CB589A" w:rsidRPr="00767C4F" w:rsidRDefault="00CB589A" w:rsidP="00E2502C">
            <w:pPr>
              <w:jc w:val="left"/>
              <w:rPr>
                <w:rFonts w:eastAsia="Times New Roman" w:cs="Arial"/>
                <w:color w:val="000000"/>
                <w:sz w:val="20"/>
                <w:szCs w:val="20"/>
                <w:lang w:val="en-US" w:eastAsia="de-DE"/>
              </w:rPr>
            </w:pPr>
            <w:r w:rsidRPr="00767C4F">
              <w:rPr>
                <w:rFonts w:eastAsia="Times New Roman" w:cs="Arial"/>
                <w:color w:val="000000"/>
                <w:sz w:val="20"/>
                <w:szCs w:val="20"/>
                <w:lang w:val="en-US" w:eastAsia="de-DE"/>
              </w:rPr>
              <w:t>Law 716</w:t>
            </w:r>
            <w:r>
              <w:rPr>
                <w:rFonts w:eastAsia="Times New Roman" w:cs="Arial"/>
                <w:color w:val="000000"/>
                <w:sz w:val="20"/>
                <w:szCs w:val="20"/>
                <w:lang w:val="en-US" w:eastAsia="de-DE"/>
              </w:rPr>
              <w:t>/96</w:t>
            </w:r>
          </w:p>
          <w:p w14:paraId="48B6423F" w14:textId="77777777" w:rsidR="00CB589A" w:rsidRPr="00A0713C" w:rsidRDefault="00CB589A" w:rsidP="00E2502C">
            <w:pPr>
              <w:jc w:val="left"/>
              <w:rPr>
                <w:rFonts w:eastAsia="Times New Roman" w:cs="Arial"/>
                <w:color w:val="000000"/>
                <w:sz w:val="20"/>
                <w:szCs w:val="20"/>
                <w:highlight w:val="yellow"/>
                <w:lang w:val="en-US" w:eastAsia="de-DE"/>
              </w:rPr>
            </w:pPr>
            <w:r w:rsidRPr="00767C4F">
              <w:rPr>
                <w:rFonts w:eastAsia="Times New Roman" w:cs="Arial"/>
                <w:color w:val="000000"/>
                <w:sz w:val="20"/>
                <w:szCs w:val="20"/>
                <w:lang w:val="en-US" w:eastAsia="de-DE"/>
              </w:rPr>
              <w:t>That sanctions crimes against the environment.</w:t>
            </w:r>
          </w:p>
        </w:tc>
        <w:tc>
          <w:tcPr>
            <w:tcW w:w="3562" w:type="dxa"/>
            <w:noWrap/>
          </w:tcPr>
          <w:p w14:paraId="13184D92" w14:textId="77777777" w:rsidR="00CB589A" w:rsidRPr="00CD4E9D"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CD4E9D">
              <w:rPr>
                <w:rFonts w:eastAsia="Times New Roman" w:cs="Arial"/>
                <w:color w:val="000000"/>
                <w:sz w:val="20"/>
                <w:szCs w:val="20"/>
                <w:lang w:val="en-US" w:eastAsia="de-DE"/>
              </w:rPr>
              <w:t>This Law protects the environment and the quality of human life against those who</w:t>
            </w:r>
          </w:p>
          <w:p w14:paraId="266495FC"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CD4E9D">
              <w:rPr>
                <w:rFonts w:eastAsia="Times New Roman" w:cs="Arial"/>
                <w:color w:val="000000"/>
                <w:sz w:val="20"/>
                <w:szCs w:val="20"/>
                <w:lang w:val="en-US" w:eastAsia="de-DE"/>
              </w:rPr>
              <w:t>order, execute or, by reason of their attributions, allow or authorize attacking activities</w:t>
            </w:r>
            <w:r>
              <w:rPr>
                <w:rFonts w:eastAsia="Times New Roman" w:cs="Arial"/>
                <w:color w:val="000000"/>
                <w:sz w:val="20"/>
                <w:szCs w:val="20"/>
                <w:lang w:val="en-US" w:eastAsia="de-DE"/>
              </w:rPr>
              <w:t xml:space="preserve"> </w:t>
            </w:r>
            <w:r w:rsidRPr="00CD4E9D">
              <w:rPr>
                <w:rFonts w:eastAsia="Times New Roman" w:cs="Arial"/>
                <w:color w:val="000000"/>
                <w:sz w:val="20"/>
                <w:szCs w:val="20"/>
                <w:lang w:val="en-US" w:eastAsia="de-DE"/>
              </w:rPr>
              <w:t>against the balance of the ecosystem, the sustainability of natural resources and the quality-of-life</w:t>
            </w:r>
            <w:r>
              <w:rPr>
                <w:rFonts w:eastAsia="Times New Roman" w:cs="Arial"/>
                <w:color w:val="000000"/>
                <w:sz w:val="20"/>
                <w:szCs w:val="20"/>
                <w:lang w:val="en-US" w:eastAsia="de-DE"/>
              </w:rPr>
              <w:t xml:space="preserve"> </w:t>
            </w:r>
            <w:r w:rsidRPr="00CD4E9D">
              <w:rPr>
                <w:rFonts w:eastAsia="Times New Roman" w:cs="Arial"/>
                <w:color w:val="000000"/>
                <w:sz w:val="20"/>
                <w:szCs w:val="20"/>
                <w:lang w:val="en-US" w:eastAsia="de-DE"/>
              </w:rPr>
              <w:t>human.</w:t>
            </w:r>
          </w:p>
        </w:tc>
        <w:tc>
          <w:tcPr>
            <w:tcW w:w="2948" w:type="dxa"/>
            <w:noWrap/>
          </w:tcPr>
          <w:p w14:paraId="7BDAA402" w14:textId="77777777" w:rsidR="00CB589A" w:rsidRPr="00A0713C"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0E3259">
              <w:rPr>
                <w:rFonts w:cs="Arial"/>
                <w:sz w:val="20"/>
                <w:szCs w:val="20"/>
              </w:rPr>
              <w:t>Ministry of the Environment and Sustainable</w:t>
            </w:r>
            <w:r>
              <w:rPr>
                <w:rFonts w:cs="Arial"/>
                <w:sz w:val="20"/>
                <w:szCs w:val="20"/>
              </w:rPr>
              <w:t xml:space="preserve"> Development</w:t>
            </w:r>
          </w:p>
        </w:tc>
      </w:tr>
      <w:tr w:rsidR="00873187" w:rsidRPr="00710E1E" w14:paraId="2246B316"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D2E863D" w14:textId="77777777" w:rsidR="00CB589A" w:rsidRPr="00AD6FCB" w:rsidRDefault="00CB589A" w:rsidP="00E2502C">
            <w:pPr>
              <w:jc w:val="left"/>
              <w:rPr>
                <w:rFonts w:eastAsia="Times New Roman" w:cs="Arial"/>
                <w:color w:val="000000"/>
                <w:sz w:val="20"/>
                <w:szCs w:val="20"/>
                <w:lang w:val="en-US" w:eastAsia="de-DE"/>
              </w:rPr>
            </w:pPr>
            <w:r w:rsidRPr="00AD6FCB">
              <w:rPr>
                <w:rFonts w:eastAsia="Times New Roman" w:cs="Arial"/>
                <w:color w:val="000000"/>
                <w:sz w:val="20"/>
                <w:szCs w:val="20"/>
                <w:lang w:val="en-US" w:eastAsia="de-DE"/>
              </w:rPr>
              <w:t>Law No. 515/94</w:t>
            </w:r>
          </w:p>
          <w:p w14:paraId="2CE0C3E7" w14:textId="77777777" w:rsidR="00CB589A" w:rsidRPr="00A0713C" w:rsidRDefault="00CB589A" w:rsidP="00E2502C">
            <w:pPr>
              <w:jc w:val="left"/>
              <w:rPr>
                <w:rFonts w:eastAsia="Times New Roman" w:cs="Arial"/>
                <w:color w:val="000000"/>
                <w:sz w:val="20"/>
                <w:szCs w:val="20"/>
                <w:highlight w:val="yellow"/>
                <w:lang w:val="en-US" w:eastAsia="de-DE"/>
              </w:rPr>
            </w:pPr>
            <w:r w:rsidRPr="00AD6FCB">
              <w:rPr>
                <w:rFonts w:eastAsia="Times New Roman" w:cs="Arial"/>
                <w:color w:val="000000"/>
                <w:sz w:val="20"/>
                <w:szCs w:val="20"/>
                <w:lang w:val="en-US" w:eastAsia="de-DE"/>
              </w:rPr>
              <w:t>That prohibits the export and traffic of rolls, pieces and beams of wood and Law No. 6611/2020 that modifies Art. 1 of the law 515/94</w:t>
            </w:r>
          </w:p>
        </w:tc>
        <w:tc>
          <w:tcPr>
            <w:tcW w:w="3562" w:type="dxa"/>
            <w:noWrap/>
          </w:tcPr>
          <w:p w14:paraId="45C84491" w14:textId="77777777" w:rsidR="00CB589A" w:rsidRPr="009135F0"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AD6FCB">
              <w:rPr>
                <w:rFonts w:eastAsia="Times New Roman" w:cs="Arial"/>
                <w:color w:val="000000"/>
                <w:sz w:val="20"/>
                <w:szCs w:val="20"/>
                <w:lang w:val="en-US" w:eastAsia="de-DE"/>
              </w:rPr>
              <w:t xml:space="preserve">This law prohibits the export and international traffic of round wood, pieces and beams of any kind, quantity, </w:t>
            </w:r>
            <w:proofErr w:type="gramStart"/>
            <w:r w:rsidRPr="00AD6FCB">
              <w:rPr>
                <w:rFonts w:eastAsia="Times New Roman" w:cs="Arial"/>
                <w:color w:val="000000"/>
                <w:sz w:val="20"/>
                <w:szCs w:val="20"/>
                <w:lang w:val="en-US" w:eastAsia="de-DE"/>
              </w:rPr>
              <w:t>weight</w:t>
            </w:r>
            <w:proofErr w:type="gramEnd"/>
            <w:r w:rsidRPr="00AD6FCB">
              <w:rPr>
                <w:rFonts w:eastAsia="Times New Roman" w:cs="Arial"/>
                <w:color w:val="000000"/>
                <w:sz w:val="20"/>
                <w:szCs w:val="20"/>
                <w:lang w:val="en-US" w:eastAsia="de-DE"/>
              </w:rPr>
              <w:t xml:space="preserve"> or volume.</w:t>
            </w:r>
            <w:r w:rsidRPr="00D54153">
              <w:rPr>
                <w:rFonts w:cs="Arial"/>
                <w:sz w:val="20"/>
                <w:szCs w:val="20"/>
                <w:shd w:val="clear" w:color="auto" w:fill="FFFFFF"/>
                <w:lang w:val="en-US"/>
              </w:rPr>
              <w:t xml:space="preserve"> </w:t>
            </w:r>
          </w:p>
        </w:tc>
        <w:tc>
          <w:tcPr>
            <w:tcW w:w="2948" w:type="dxa"/>
            <w:noWrap/>
          </w:tcPr>
          <w:p w14:paraId="2EFB4BBD" w14:textId="77777777" w:rsidR="00CB589A" w:rsidRPr="00710E1E"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AR" w:eastAsia="de-DE"/>
              </w:rPr>
            </w:pPr>
            <w:r w:rsidRPr="004B7B9B">
              <w:rPr>
                <w:rFonts w:eastAsia="Times New Roman" w:cs="Arial"/>
                <w:color w:val="000000"/>
                <w:sz w:val="20"/>
                <w:szCs w:val="20"/>
                <w:lang w:eastAsia="de-DE"/>
              </w:rPr>
              <w:t>National Forest Institute</w:t>
            </w:r>
          </w:p>
        </w:tc>
      </w:tr>
      <w:tr w:rsidR="00873187" w:rsidRPr="005A3F77" w14:paraId="30847AF1"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1F9B9CF" w14:textId="77777777" w:rsidR="00CB589A" w:rsidRPr="0075232A" w:rsidRDefault="00CB589A" w:rsidP="00E2502C">
            <w:pPr>
              <w:jc w:val="left"/>
              <w:rPr>
                <w:rFonts w:eastAsia="Times New Roman" w:cs="Arial"/>
                <w:color w:val="000000"/>
                <w:sz w:val="20"/>
                <w:szCs w:val="20"/>
                <w:lang w:val="es-AR" w:eastAsia="de-DE"/>
              </w:rPr>
            </w:pPr>
            <w:proofErr w:type="spellStart"/>
            <w:r w:rsidRPr="0075232A">
              <w:rPr>
                <w:rFonts w:eastAsia="Times New Roman" w:cs="Arial"/>
                <w:color w:val="000000"/>
                <w:sz w:val="20"/>
                <w:szCs w:val="20"/>
                <w:lang w:val="es-AR" w:eastAsia="de-DE"/>
              </w:rPr>
              <w:t>Decr</w:t>
            </w:r>
            <w:r>
              <w:rPr>
                <w:rFonts w:eastAsia="Times New Roman" w:cs="Arial"/>
                <w:color w:val="000000"/>
                <w:sz w:val="20"/>
                <w:szCs w:val="20"/>
                <w:lang w:val="es-AR" w:eastAsia="de-DE"/>
              </w:rPr>
              <w:t>ee</w:t>
            </w:r>
            <w:proofErr w:type="spellEnd"/>
            <w:r w:rsidRPr="0075232A">
              <w:rPr>
                <w:rFonts w:eastAsia="Times New Roman" w:cs="Arial"/>
                <w:color w:val="000000"/>
                <w:sz w:val="20"/>
                <w:szCs w:val="20"/>
                <w:lang w:val="es-AR" w:eastAsia="de-DE"/>
              </w:rPr>
              <w:t xml:space="preserve"> </w:t>
            </w:r>
            <w:proofErr w:type="spellStart"/>
            <w:r w:rsidRPr="0075232A">
              <w:rPr>
                <w:rFonts w:eastAsia="Times New Roman" w:cs="Arial"/>
                <w:color w:val="000000"/>
                <w:sz w:val="20"/>
                <w:szCs w:val="20"/>
                <w:lang w:val="es-AR" w:eastAsia="de-DE"/>
              </w:rPr>
              <w:t>Nº</w:t>
            </w:r>
            <w:proofErr w:type="spellEnd"/>
            <w:r w:rsidRPr="0075232A">
              <w:rPr>
                <w:rFonts w:eastAsia="Times New Roman" w:cs="Arial"/>
                <w:color w:val="000000"/>
                <w:sz w:val="20"/>
                <w:szCs w:val="20"/>
                <w:lang w:val="es-AR" w:eastAsia="de-DE"/>
              </w:rPr>
              <w:t xml:space="preserve"> 954 / 2013 </w:t>
            </w:r>
          </w:p>
          <w:p w14:paraId="145A3EE6" w14:textId="77777777" w:rsidR="00CB589A" w:rsidRPr="00A47E47" w:rsidRDefault="00CB589A" w:rsidP="00E2502C">
            <w:pPr>
              <w:jc w:val="left"/>
              <w:rPr>
                <w:rFonts w:eastAsia="Times New Roman" w:cs="Arial"/>
                <w:color w:val="000000"/>
                <w:sz w:val="20"/>
                <w:szCs w:val="20"/>
                <w:lang w:val="es-AR" w:eastAsia="de-DE"/>
              </w:rPr>
            </w:pPr>
          </w:p>
        </w:tc>
        <w:tc>
          <w:tcPr>
            <w:tcW w:w="3562" w:type="dxa"/>
            <w:noWrap/>
          </w:tcPr>
          <w:p w14:paraId="652BCB67" w14:textId="03098961" w:rsidR="00CB589A" w:rsidRPr="005A3F77"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5A3F77">
              <w:rPr>
                <w:rFonts w:eastAsia="Times New Roman" w:cs="Arial"/>
                <w:color w:val="000000"/>
                <w:sz w:val="20"/>
                <w:szCs w:val="20"/>
                <w:lang w:val="en-US" w:eastAsia="de-DE"/>
              </w:rPr>
              <w:t xml:space="preserve">This decree amends and expands Articles 2, 3, 5, 6, Subsection e), 9, 10, 14 and the Annex to Decree No. 453 of October 8, 2013, which regulates Law No. 294/1993 </w:t>
            </w:r>
            <w:r w:rsidRPr="005A3F77" w:rsidDel="00D76B9B">
              <w:rPr>
                <w:rFonts w:eastAsia="Times New Roman" w:cs="Arial"/>
                <w:color w:val="000000"/>
                <w:sz w:val="20"/>
                <w:szCs w:val="20"/>
                <w:lang w:val="en-US" w:eastAsia="de-DE"/>
              </w:rPr>
              <w:t>"</w:t>
            </w:r>
            <w:r w:rsidRPr="005A3F77">
              <w:rPr>
                <w:rFonts w:eastAsia="Times New Roman" w:cs="Arial"/>
                <w:color w:val="000000"/>
                <w:sz w:val="20"/>
                <w:szCs w:val="20"/>
                <w:lang w:val="en-US" w:eastAsia="de-DE"/>
              </w:rPr>
              <w:t>Environmental Impact Assessment</w:t>
            </w:r>
            <w:proofErr w:type="gramStart"/>
            <w:r w:rsidRPr="005A3F77" w:rsidDel="00D76B9B">
              <w:rPr>
                <w:rFonts w:eastAsia="Times New Roman" w:cs="Arial"/>
                <w:color w:val="000000"/>
                <w:sz w:val="20"/>
                <w:szCs w:val="20"/>
                <w:lang w:val="en-US" w:eastAsia="de-DE"/>
              </w:rPr>
              <w:t>"</w:t>
            </w:r>
            <w:proofErr w:type="gramEnd"/>
            <w:r w:rsidRPr="005A3F77">
              <w:rPr>
                <w:rFonts w:eastAsia="Times New Roman" w:cs="Arial"/>
                <w:color w:val="000000"/>
                <w:sz w:val="20"/>
                <w:szCs w:val="20"/>
                <w:lang w:val="en-US" w:eastAsia="de-DE"/>
              </w:rPr>
              <w:t xml:space="preserve"> and its amendment, Law No. 345/1994, and Decree No. 14,281/1996 is repealed.</w:t>
            </w:r>
          </w:p>
        </w:tc>
        <w:tc>
          <w:tcPr>
            <w:tcW w:w="2948" w:type="dxa"/>
            <w:noWrap/>
          </w:tcPr>
          <w:p w14:paraId="5C27240E" w14:textId="77777777" w:rsidR="00CB589A" w:rsidRPr="005A3F77"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0E3259">
              <w:rPr>
                <w:rFonts w:cs="Arial"/>
                <w:sz w:val="20"/>
                <w:szCs w:val="20"/>
              </w:rPr>
              <w:t>Ministry of the Environment and Sustainable</w:t>
            </w:r>
            <w:r>
              <w:rPr>
                <w:rFonts w:cs="Arial"/>
                <w:sz w:val="20"/>
                <w:szCs w:val="20"/>
              </w:rPr>
              <w:t xml:space="preserve"> Development</w:t>
            </w:r>
          </w:p>
        </w:tc>
      </w:tr>
      <w:tr w:rsidR="00873187" w:rsidRPr="005A3F77" w14:paraId="73FA4CB4"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4DC3821" w14:textId="1FE7F38E" w:rsidR="00CB589A" w:rsidRPr="00AA43CD" w:rsidRDefault="00CB589A" w:rsidP="00E2502C">
            <w:pPr>
              <w:jc w:val="left"/>
              <w:rPr>
                <w:rFonts w:cs="Arial"/>
                <w:color w:val="FF0000"/>
                <w:sz w:val="20"/>
                <w:szCs w:val="20"/>
                <w:shd w:val="clear" w:color="auto" w:fill="FFFFFF"/>
                <w:lang w:val="en-US"/>
              </w:rPr>
            </w:pPr>
            <w:r w:rsidRPr="00AA43CD">
              <w:rPr>
                <w:rFonts w:eastAsia="Times New Roman" w:cs="Arial"/>
                <w:color w:val="000000"/>
                <w:sz w:val="20"/>
                <w:szCs w:val="20"/>
                <w:lang w:val="en-US" w:eastAsia="de-DE"/>
              </w:rPr>
              <w:t>Law n. 3</w:t>
            </w:r>
            <w:r>
              <w:rPr>
                <w:rFonts w:eastAsia="Times New Roman" w:cs="Arial"/>
                <w:color w:val="000000"/>
                <w:sz w:val="20"/>
                <w:szCs w:val="20"/>
                <w:lang w:val="en-US" w:eastAsia="de-DE"/>
              </w:rPr>
              <w:t>.</w:t>
            </w:r>
            <w:r w:rsidRPr="00AA43CD">
              <w:rPr>
                <w:rFonts w:eastAsia="Times New Roman" w:cs="Arial"/>
                <w:color w:val="000000"/>
                <w:sz w:val="20"/>
                <w:szCs w:val="20"/>
                <w:lang w:val="en-US" w:eastAsia="de-DE"/>
              </w:rPr>
              <w:t>239/2007 and decree 7017/2022</w:t>
            </w:r>
            <w:r w:rsidRPr="00AA43CD">
              <w:rPr>
                <w:rFonts w:eastAsia="Times New Roman" w:cs="Arial"/>
                <w:color w:val="000000"/>
                <w:sz w:val="20"/>
                <w:szCs w:val="20"/>
                <w:lang w:eastAsia="de-DE"/>
              </w:rPr>
              <w:t xml:space="preserve"> </w:t>
            </w:r>
            <w:r w:rsidRPr="00AA43CD" w:rsidDel="00D76B9B">
              <w:rPr>
                <w:rFonts w:eastAsia="Times New Roman" w:cs="Arial"/>
                <w:color w:val="000000"/>
                <w:sz w:val="20"/>
                <w:szCs w:val="20"/>
                <w:lang w:eastAsia="de-DE"/>
              </w:rPr>
              <w:t>-</w:t>
            </w:r>
            <w:r w:rsidRPr="00AA43CD">
              <w:rPr>
                <w:rFonts w:eastAsia="Times New Roman" w:cs="Arial"/>
                <w:color w:val="000000"/>
                <w:sz w:val="20"/>
                <w:szCs w:val="20"/>
                <w:lang w:eastAsia="de-DE"/>
              </w:rPr>
              <w:t xml:space="preserve"> Paraguay Water Resources</w:t>
            </w:r>
          </w:p>
        </w:tc>
        <w:tc>
          <w:tcPr>
            <w:tcW w:w="3562" w:type="dxa"/>
            <w:noWrap/>
          </w:tcPr>
          <w:p w14:paraId="23B4EFFF" w14:textId="5F15CB75" w:rsidR="00CB589A" w:rsidRPr="005A3F77" w:rsidRDefault="00CB589A" w:rsidP="00687802">
            <w:pPr>
              <w:jc w:val="left"/>
              <w:cnfStyle w:val="000000000000" w:firstRow="0" w:lastRow="0" w:firstColumn="0" w:lastColumn="0" w:oddVBand="0" w:evenVBand="0" w:oddHBand="0" w:evenHBand="0" w:firstRowFirstColumn="0" w:firstRowLastColumn="0" w:lastRowFirstColumn="0" w:lastRowLastColumn="0"/>
              <w:rPr>
                <w:rFonts w:cs="Arial"/>
                <w:color w:val="FF0000"/>
                <w:sz w:val="20"/>
                <w:szCs w:val="20"/>
                <w:shd w:val="clear" w:color="auto" w:fill="FFFFFF"/>
                <w:lang w:val="en-US"/>
              </w:rPr>
            </w:pPr>
            <w:r w:rsidRPr="00AA43CD">
              <w:rPr>
                <w:rFonts w:eastAsia="Times New Roman" w:cs="Arial"/>
                <w:color w:val="000000"/>
                <w:sz w:val="20"/>
                <w:szCs w:val="20"/>
                <w:lang w:eastAsia="de-DE"/>
              </w:rPr>
              <w:t>The purpose of this law is to regulate the sustainable and integral</w:t>
            </w:r>
            <w:r w:rsidR="00687802">
              <w:rPr>
                <w:rFonts w:eastAsia="Times New Roman" w:cs="Arial"/>
                <w:color w:val="000000"/>
                <w:sz w:val="20"/>
                <w:szCs w:val="20"/>
                <w:lang w:eastAsia="de-DE"/>
              </w:rPr>
              <w:t xml:space="preserve"> </w:t>
            </w:r>
            <w:r w:rsidRPr="00AA43CD">
              <w:rPr>
                <w:rFonts w:eastAsia="Times New Roman" w:cs="Arial"/>
                <w:color w:val="000000"/>
                <w:sz w:val="20"/>
                <w:szCs w:val="20"/>
                <w:lang w:eastAsia="de-DE"/>
              </w:rPr>
              <w:t>management of all</w:t>
            </w:r>
            <w:r w:rsidR="00687802">
              <w:rPr>
                <w:rFonts w:eastAsia="Times New Roman" w:cs="Arial"/>
                <w:color w:val="000000"/>
                <w:sz w:val="20"/>
                <w:szCs w:val="20"/>
                <w:lang w:eastAsia="de-DE"/>
              </w:rPr>
              <w:t xml:space="preserve"> </w:t>
            </w:r>
            <w:r w:rsidRPr="00AA43CD">
              <w:rPr>
                <w:rFonts w:eastAsia="Times New Roman" w:cs="Arial"/>
                <w:color w:val="000000"/>
                <w:sz w:val="20"/>
                <w:szCs w:val="20"/>
                <w:lang w:eastAsia="de-DE"/>
              </w:rPr>
              <w:t>waters and the territories that produce them, regardless of their location, physical state,</w:t>
            </w:r>
            <w:r w:rsidR="00687802">
              <w:rPr>
                <w:rFonts w:eastAsia="Times New Roman" w:cs="Arial"/>
                <w:color w:val="000000"/>
                <w:sz w:val="20"/>
                <w:szCs w:val="20"/>
                <w:lang w:eastAsia="de-DE"/>
              </w:rPr>
              <w:t xml:space="preserve"> </w:t>
            </w:r>
            <w:r w:rsidRPr="00AA43CD">
              <w:rPr>
                <w:rFonts w:eastAsia="Times New Roman" w:cs="Arial"/>
                <w:color w:val="000000"/>
                <w:sz w:val="20"/>
                <w:szCs w:val="20"/>
                <w:lang w:eastAsia="de-DE"/>
              </w:rPr>
              <w:t>or their natural occurrence within Paraguayan</w:t>
            </w:r>
            <w:r w:rsidR="00687802">
              <w:rPr>
                <w:rFonts w:eastAsia="Times New Roman" w:cs="Arial"/>
                <w:color w:val="000000"/>
                <w:sz w:val="20"/>
                <w:szCs w:val="20"/>
                <w:lang w:eastAsia="de-DE"/>
              </w:rPr>
              <w:t xml:space="preserve"> </w:t>
            </w:r>
            <w:r w:rsidRPr="00AA43CD">
              <w:rPr>
                <w:rFonts w:eastAsia="Times New Roman" w:cs="Arial"/>
                <w:color w:val="000000"/>
                <w:sz w:val="20"/>
                <w:szCs w:val="20"/>
                <w:lang w:eastAsia="de-DE"/>
              </w:rPr>
              <w:t>territory (article 1).</w:t>
            </w:r>
          </w:p>
        </w:tc>
        <w:tc>
          <w:tcPr>
            <w:tcW w:w="2948" w:type="dxa"/>
            <w:noWrap/>
          </w:tcPr>
          <w:p w14:paraId="6F67D34A" w14:textId="77777777" w:rsidR="00CB589A" w:rsidRPr="005A3F77"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n-US"/>
              </w:rPr>
            </w:pPr>
            <w:r w:rsidRPr="000E3259">
              <w:rPr>
                <w:rFonts w:cs="Arial"/>
                <w:sz w:val="20"/>
                <w:szCs w:val="20"/>
              </w:rPr>
              <w:t>Ministry of the Environment and Sustainable</w:t>
            </w:r>
            <w:r>
              <w:rPr>
                <w:rFonts w:cs="Arial"/>
                <w:sz w:val="20"/>
                <w:szCs w:val="20"/>
              </w:rPr>
              <w:t xml:space="preserve"> Development</w:t>
            </w:r>
          </w:p>
        </w:tc>
      </w:tr>
      <w:tr w:rsidR="00873187" w:rsidRPr="00102605" w14:paraId="48C2177B"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FF3E16F" w14:textId="77777777" w:rsidR="00CB589A" w:rsidRPr="00D07B6F" w:rsidRDefault="00CB589A" w:rsidP="00E2502C">
            <w:pPr>
              <w:jc w:val="left"/>
              <w:rPr>
                <w:rFonts w:eastAsia="Times New Roman" w:cs="Arial"/>
                <w:color w:val="000000"/>
                <w:sz w:val="20"/>
                <w:szCs w:val="20"/>
                <w:lang w:eastAsia="de-DE"/>
              </w:rPr>
            </w:pPr>
            <w:r w:rsidRPr="00AD6FCB">
              <w:rPr>
                <w:rFonts w:eastAsia="Times New Roman" w:cs="Arial"/>
                <w:color w:val="000000"/>
                <w:sz w:val="20"/>
                <w:szCs w:val="20"/>
                <w:lang w:val="en-US" w:eastAsia="de-DE"/>
              </w:rPr>
              <w:t>Law 1.183/1985, Civil Code.</w:t>
            </w:r>
          </w:p>
        </w:tc>
        <w:tc>
          <w:tcPr>
            <w:tcW w:w="3562" w:type="dxa"/>
            <w:noWrap/>
          </w:tcPr>
          <w:p w14:paraId="1A1C1101"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D07B6F">
              <w:rPr>
                <w:rFonts w:eastAsia="Times New Roman" w:cs="Arial"/>
                <w:color w:val="000000"/>
                <w:sz w:val="20"/>
                <w:szCs w:val="20"/>
                <w:lang w:eastAsia="de-DE"/>
              </w:rPr>
              <w:t>Legal provision on the harmful use of property and pollution.</w:t>
            </w:r>
          </w:p>
        </w:tc>
        <w:tc>
          <w:tcPr>
            <w:tcW w:w="2948" w:type="dxa"/>
            <w:noWrap/>
          </w:tcPr>
          <w:p w14:paraId="41C51740" w14:textId="77777777" w:rsidR="00CB589A" w:rsidRPr="00D07B6F"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Congress</w:t>
            </w:r>
          </w:p>
        </w:tc>
      </w:tr>
      <w:tr w:rsidR="00873187" w:rsidRPr="00FA60CF" w14:paraId="094CA2D8"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3393CBE" w14:textId="77777777" w:rsidR="00CB589A" w:rsidRPr="00FA60CF" w:rsidRDefault="00CB589A" w:rsidP="00E2502C">
            <w:pPr>
              <w:jc w:val="left"/>
              <w:rPr>
                <w:rFonts w:eastAsia="Times New Roman" w:cs="Arial"/>
                <w:sz w:val="20"/>
                <w:szCs w:val="20"/>
                <w:lang w:val="pt-BR" w:eastAsia="de-DE"/>
              </w:rPr>
            </w:pPr>
            <w:r w:rsidRPr="00FA60CF">
              <w:rPr>
                <w:rFonts w:cs="Arial"/>
                <w:sz w:val="20"/>
                <w:szCs w:val="20"/>
                <w:shd w:val="clear" w:color="auto" w:fill="FFFFFF"/>
                <w:lang w:val="pt-BR"/>
              </w:rPr>
              <w:t>L</w:t>
            </w:r>
            <w:r>
              <w:rPr>
                <w:rFonts w:cs="Arial"/>
                <w:sz w:val="20"/>
                <w:szCs w:val="20"/>
                <w:shd w:val="clear" w:color="auto" w:fill="FFFFFF"/>
                <w:lang w:val="pt-BR"/>
              </w:rPr>
              <w:t>aw</w:t>
            </w:r>
            <w:r w:rsidRPr="00FA60CF">
              <w:rPr>
                <w:rFonts w:cs="Arial"/>
                <w:sz w:val="20"/>
                <w:szCs w:val="20"/>
                <w:shd w:val="clear" w:color="auto" w:fill="FFFFFF"/>
                <w:lang w:val="pt-BR"/>
              </w:rPr>
              <w:t xml:space="preserve"> N° 352/94 </w:t>
            </w:r>
          </w:p>
        </w:tc>
        <w:tc>
          <w:tcPr>
            <w:tcW w:w="3562" w:type="dxa"/>
            <w:noWrap/>
          </w:tcPr>
          <w:p w14:paraId="15DBF235" w14:textId="20775399" w:rsidR="00CB589A" w:rsidRPr="00FA60C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US" w:eastAsia="de-DE"/>
              </w:rPr>
            </w:pPr>
            <w:r>
              <w:rPr>
                <w:rFonts w:eastAsia="Times New Roman" w:cs="Arial"/>
                <w:sz w:val="20"/>
                <w:szCs w:val="20"/>
                <w:lang w:val="en-US" w:eastAsia="de-DE"/>
              </w:rPr>
              <w:t xml:space="preserve">This law creates </w:t>
            </w:r>
            <w:r w:rsidRPr="00E370F8">
              <w:rPr>
                <w:rFonts w:eastAsia="Times New Roman" w:cs="Arial"/>
                <w:sz w:val="20"/>
                <w:szCs w:val="20"/>
                <w:lang w:val="en-US" w:eastAsia="de-DE"/>
              </w:rPr>
              <w:t>The National System of Wild Protected Areas of Paraguay (SINASIP)</w:t>
            </w:r>
            <w:r>
              <w:rPr>
                <w:rFonts w:eastAsia="Times New Roman" w:cs="Arial"/>
                <w:sz w:val="20"/>
                <w:szCs w:val="20"/>
                <w:lang w:val="en-US" w:eastAsia="de-DE"/>
              </w:rPr>
              <w:t xml:space="preserve"> </w:t>
            </w:r>
            <w:r w:rsidRPr="00133D36">
              <w:rPr>
                <w:rFonts w:eastAsia="Times New Roman" w:cs="Arial"/>
                <w:sz w:val="20"/>
                <w:szCs w:val="20"/>
                <w:lang w:val="en-US" w:eastAsia="de-DE"/>
              </w:rPr>
              <w:t>to reorganize the country's protected areas.</w:t>
            </w:r>
          </w:p>
        </w:tc>
        <w:tc>
          <w:tcPr>
            <w:tcW w:w="2948" w:type="dxa"/>
            <w:noWrap/>
          </w:tcPr>
          <w:p w14:paraId="31E7A309" w14:textId="77777777" w:rsidR="00CB589A" w:rsidRPr="00FA60CF"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0E3259">
              <w:rPr>
                <w:rFonts w:cs="Arial"/>
                <w:sz w:val="20"/>
                <w:szCs w:val="20"/>
              </w:rPr>
              <w:t>Ministry of the Environment and Sustainable</w:t>
            </w:r>
            <w:r>
              <w:rPr>
                <w:rFonts w:cs="Arial"/>
                <w:sz w:val="20"/>
                <w:szCs w:val="20"/>
              </w:rPr>
              <w:t xml:space="preserve"> Development</w:t>
            </w:r>
          </w:p>
        </w:tc>
      </w:tr>
      <w:tr w:rsidR="00873187" w:rsidRPr="00986D26" w14:paraId="33DB14AC"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A12C511" w14:textId="77777777" w:rsidR="00CB589A" w:rsidRPr="00FA60CF" w:rsidRDefault="00CB589A" w:rsidP="00E2502C">
            <w:pPr>
              <w:jc w:val="left"/>
              <w:rPr>
                <w:rFonts w:eastAsia="Times New Roman" w:cs="Arial"/>
                <w:color w:val="000000"/>
                <w:sz w:val="20"/>
                <w:szCs w:val="20"/>
                <w:lang w:val="en-US" w:eastAsia="de-DE"/>
              </w:rPr>
            </w:pPr>
            <w:r>
              <w:rPr>
                <w:rFonts w:eastAsia="Times New Roman" w:cs="Arial"/>
                <w:color w:val="000000"/>
                <w:sz w:val="20"/>
                <w:szCs w:val="20"/>
                <w:lang w:val="en-US" w:eastAsia="de-DE"/>
              </w:rPr>
              <w:t xml:space="preserve">Law </w:t>
            </w:r>
            <w:r w:rsidRPr="00EC4469">
              <w:rPr>
                <w:rFonts w:eastAsia="Times New Roman" w:cs="Arial"/>
                <w:color w:val="000000"/>
                <w:sz w:val="20"/>
                <w:szCs w:val="20"/>
                <w:lang w:val="en-US" w:eastAsia="de-DE"/>
              </w:rPr>
              <w:t>716/95</w:t>
            </w:r>
          </w:p>
        </w:tc>
        <w:tc>
          <w:tcPr>
            <w:tcW w:w="3562" w:type="dxa"/>
            <w:noWrap/>
          </w:tcPr>
          <w:p w14:paraId="1D1F0434" w14:textId="77777777" w:rsidR="00CB589A" w:rsidRPr="00FA60CF"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EC4469">
              <w:rPr>
                <w:rFonts w:eastAsia="Times New Roman" w:cs="Arial"/>
                <w:color w:val="000000"/>
                <w:sz w:val="20"/>
                <w:szCs w:val="20"/>
                <w:lang w:val="en-US" w:eastAsia="de-DE"/>
              </w:rPr>
              <w:t xml:space="preserve">Law on Environmental Crimes </w:t>
            </w:r>
          </w:p>
        </w:tc>
        <w:tc>
          <w:tcPr>
            <w:tcW w:w="2948" w:type="dxa"/>
            <w:noWrap/>
          </w:tcPr>
          <w:p w14:paraId="49F10F5D" w14:textId="77777777" w:rsidR="00CB589A" w:rsidRPr="00FA60CF"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0E3259">
              <w:rPr>
                <w:rFonts w:cs="Arial"/>
                <w:sz w:val="20"/>
                <w:szCs w:val="20"/>
              </w:rPr>
              <w:t>Ministry of the Environment and Sustainable</w:t>
            </w:r>
            <w:r>
              <w:rPr>
                <w:rFonts w:cs="Arial"/>
                <w:sz w:val="20"/>
                <w:szCs w:val="20"/>
              </w:rPr>
              <w:t xml:space="preserve"> Development</w:t>
            </w:r>
          </w:p>
        </w:tc>
      </w:tr>
      <w:tr w:rsidR="00873187" w:rsidRPr="00986D26" w14:paraId="24135497"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586525E" w14:textId="77777777" w:rsidR="00CB589A" w:rsidRPr="00F21E4C" w:rsidRDefault="00CB589A" w:rsidP="00E2502C">
            <w:pPr>
              <w:jc w:val="left"/>
              <w:rPr>
                <w:rFonts w:eastAsia="Times New Roman" w:cs="Arial"/>
                <w:color w:val="000000"/>
                <w:sz w:val="20"/>
                <w:szCs w:val="20"/>
                <w:lang w:val="en-US" w:eastAsia="de-DE"/>
              </w:rPr>
            </w:pPr>
            <w:r w:rsidRPr="00F21E4C">
              <w:rPr>
                <w:rFonts w:eastAsia="Times New Roman" w:cs="Arial"/>
                <w:color w:val="000000"/>
                <w:sz w:val="20"/>
                <w:szCs w:val="20"/>
                <w:lang w:val="en-US" w:eastAsia="de-DE"/>
              </w:rPr>
              <w:t>Law 3</w:t>
            </w:r>
            <w:r>
              <w:rPr>
                <w:rFonts w:eastAsia="Times New Roman" w:cs="Arial"/>
                <w:color w:val="000000"/>
                <w:sz w:val="20"/>
                <w:szCs w:val="20"/>
                <w:lang w:val="en-US" w:eastAsia="de-DE"/>
              </w:rPr>
              <w:t>.</w:t>
            </w:r>
            <w:r w:rsidRPr="00F21E4C">
              <w:rPr>
                <w:rFonts w:eastAsia="Times New Roman" w:cs="Arial"/>
                <w:color w:val="000000"/>
                <w:sz w:val="20"/>
                <w:szCs w:val="20"/>
                <w:lang w:val="en-US" w:eastAsia="de-DE"/>
              </w:rPr>
              <w:t>956/09 – Integral Solid Waste Management in the Republic of Paraguay</w:t>
            </w:r>
            <w:r>
              <w:rPr>
                <w:rFonts w:eastAsia="Times New Roman" w:cs="Arial"/>
                <w:color w:val="000000"/>
                <w:sz w:val="20"/>
                <w:szCs w:val="20"/>
                <w:lang w:val="en-US" w:eastAsia="de-DE"/>
              </w:rPr>
              <w:t xml:space="preserve"> and decree No. 7391/2017</w:t>
            </w:r>
          </w:p>
        </w:tc>
        <w:tc>
          <w:tcPr>
            <w:tcW w:w="3562" w:type="dxa"/>
            <w:noWrap/>
          </w:tcPr>
          <w:p w14:paraId="4FE482D2" w14:textId="4A7B8F3E" w:rsidR="00CB589A" w:rsidRPr="00F21E4C" w:rsidRDefault="00CB589A" w:rsidP="00ED68A3">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F21E4C">
              <w:rPr>
                <w:rFonts w:eastAsia="Times New Roman" w:cs="Arial"/>
                <w:color w:val="000000"/>
                <w:sz w:val="20"/>
                <w:szCs w:val="20"/>
                <w:lang w:val="en-US" w:eastAsia="de-DE"/>
              </w:rPr>
              <w:t>The purpose of these regulations is to establish and apply a legal regime for the</w:t>
            </w:r>
            <w:r w:rsidR="00ED68A3">
              <w:rPr>
                <w:rFonts w:eastAsia="Times New Roman" w:cs="Arial"/>
                <w:color w:val="000000"/>
                <w:sz w:val="20"/>
                <w:szCs w:val="20"/>
                <w:lang w:val="en-US" w:eastAsia="de-DE"/>
              </w:rPr>
              <w:t xml:space="preserve"> </w:t>
            </w:r>
            <w:r w:rsidRPr="00F21E4C">
              <w:rPr>
                <w:rFonts w:eastAsia="Times New Roman" w:cs="Arial"/>
                <w:color w:val="000000"/>
                <w:sz w:val="20"/>
                <w:szCs w:val="20"/>
                <w:lang w:val="en-US" w:eastAsia="de-DE"/>
              </w:rPr>
              <w:t xml:space="preserve">generation and responsible management of solid waste, whose regulatory content </w:t>
            </w:r>
            <w:proofErr w:type="spellStart"/>
            <w:r w:rsidRPr="00F21E4C">
              <w:rPr>
                <w:rFonts w:eastAsia="Times New Roman" w:cs="Arial"/>
                <w:color w:val="000000"/>
                <w:sz w:val="20"/>
                <w:szCs w:val="20"/>
                <w:lang w:val="en-US" w:eastAsia="de-DE"/>
              </w:rPr>
              <w:t>andpractical</w:t>
            </w:r>
            <w:proofErr w:type="spellEnd"/>
            <w:r w:rsidRPr="00F21E4C">
              <w:rPr>
                <w:rFonts w:eastAsia="Times New Roman" w:cs="Arial"/>
                <w:color w:val="000000"/>
                <w:sz w:val="20"/>
                <w:szCs w:val="20"/>
                <w:lang w:val="en-US" w:eastAsia="de-DE"/>
              </w:rPr>
              <w:t xml:space="preserve"> usefulness should lead to the reduction of such waste to a minimum and avoid</w:t>
            </w:r>
            <w:r>
              <w:rPr>
                <w:rFonts w:eastAsia="Times New Roman" w:cs="Arial"/>
                <w:color w:val="000000"/>
                <w:sz w:val="20"/>
                <w:szCs w:val="20"/>
                <w:lang w:val="en-US" w:eastAsia="de-DE"/>
              </w:rPr>
              <w:t xml:space="preserve"> </w:t>
            </w:r>
            <w:r w:rsidRPr="00F21E4C">
              <w:rPr>
                <w:rFonts w:eastAsia="Times New Roman" w:cs="Arial"/>
                <w:color w:val="000000"/>
                <w:sz w:val="20"/>
                <w:szCs w:val="20"/>
                <w:lang w:val="en-US" w:eastAsia="de-DE"/>
              </w:rPr>
              <w:t>situations of risk to human health and environmental quality (article 1).</w:t>
            </w:r>
          </w:p>
        </w:tc>
        <w:tc>
          <w:tcPr>
            <w:tcW w:w="2948" w:type="dxa"/>
            <w:noWrap/>
          </w:tcPr>
          <w:p w14:paraId="0C7B8F34" w14:textId="77777777" w:rsidR="00CB589A" w:rsidRPr="00F21E4C"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0E3259">
              <w:rPr>
                <w:rFonts w:cs="Arial"/>
                <w:sz w:val="20"/>
                <w:szCs w:val="20"/>
              </w:rPr>
              <w:t>Ministry of the Environment and Sustainable</w:t>
            </w:r>
            <w:r>
              <w:rPr>
                <w:rFonts w:cs="Arial"/>
                <w:sz w:val="20"/>
                <w:szCs w:val="20"/>
              </w:rPr>
              <w:t xml:space="preserve"> Development</w:t>
            </w:r>
          </w:p>
        </w:tc>
      </w:tr>
      <w:tr w:rsidR="00873187" w:rsidRPr="00D00407" w14:paraId="315A5429" w14:textId="77777777" w:rsidTr="00ED68A3">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42FE54D" w14:textId="1CCEEA3A" w:rsidR="00CB589A" w:rsidRPr="00A47E47" w:rsidRDefault="00CB589A" w:rsidP="00E2502C">
            <w:pPr>
              <w:jc w:val="left"/>
              <w:rPr>
                <w:rFonts w:eastAsia="Times New Roman" w:cs="Arial"/>
                <w:color w:val="000000"/>
                <w:sz w:val="20"/>
                <w:szCs w:val="20"/>
                <w:lang w:val="es-AR" w:eastAsia="de-DE"/>
              </w:rPr>
            </w:pPr>
            <w:proofErr w:type="spellStart"/>
            <w:r w:rsidRPr="005828AC">
              <w:rPr>
                <w:rFonts w:eastAsia="Times New Roman" w:cs="Arial"/>
                <w:color w:val="000000"/>
                <w:sz w:val="20"/>
                <w:szCs w:val="20"/>
                <w:lang w:val="es-AR" w:eastAsia="de-DE"/>
              </w:rPr>
              <w:t>Law</w:t>
            </w:r>
            <w:proofErr w:type="spellEnd"/>
            <w:r w:rsidRPr="005828AC">
              <w:rPr>
                <w:rFonts w:eastAsia="Times New Roman" w:cs="Arial"/>
                <w:color w:val="000000"/>
                <w:sz w:val="20"/>
                <w:szCs w:val="20"/>
                <w:lang w:val="es-AR" w:eastAsia="de-DE"/>
              </w:rPr>
              <w:t xml:space="preserve"> 3</w:t>
            </w:r>
            <w:r>
              <w:rPr>
                <w:rFonts w:eastAsia="Times New Roman" w:cs="Arial"/>
                <w:color w:val="000000"/>
                <w:sz w:val="20"/>
                <w:szCs w:val="20"/>
                <w:lang w:val="es-AR" w:eastAsia="de-DE"/>
              </w:rPr>
              <w:t>.</w:t>
            </w:r>
            <w:r w:rsidRPr="005828AC">
              <w:rPr>
                <w:rFonts w:eastAsia="Times New Roman" w:cs="Arial"/>
                <w:color w:val="000000"/>
                <w:sz w:val="20"/>
                <w:szCs w:val="20"/>
                <w:lang w:val="es-AR" w:eastAsia="de-DE"/>
              </w:rPr>
              <w:t xml:space="preserve">464/2008 </w:t>
            </w:r>
            <w:r w:rsidRPr="005828AC" w:rsidDel="00D76B9B">
              <w:rPr>
                <w:rFonts w:eastAsia="Times New Roman" w:cs="Arial"/>
                <w:color w:val="000000"/>
                <w:sz w:val="20"/>
                <w:szCs w:val="20"/>
                <w:lang w:val="es-AR" w:eastAsia="de-DE"/>
              </w:rPr>
              <w:t>-</w:t>
            </w:r>
            <w:r w:rsidRPr="005828AC">
              <w:rPr>
                <w:rFonts w:eastAsia="Times New Roman" w:cs="Arial"/>
                <w:color w:val="000000"/>
                <w:sz w:val="20"/>
                <w:szCs w:val="20"/>
                <w:lang w:val="es-AR" w:eastAsia="de-DE"/>
              </w:rPr>
              <w:t xml:space="preserve"> </w:t>
            </w:r>
            <w:proofErr w:type="spellStart"/>
            <w:r w:rsidRPr="005828AC">
              <w:rPr>
                <w:rFonts w:eastAsia="Times New Roman" w:cs="Arial"/>
                <w:color w:val="000000"/>
                <w:sz w:val="20"/>
                <w:szCs w:val="20"/>
                <w:lang w:val="es-AR" w:eastAsia="de-DE"/>
              </w:rPr>
              <w:t>Creates</w:t>
            </w:r>
            <w:proofErr w:type="spellEnd"/>
            <w:r w:rsidRPr="005828AC">
              <w:rPr>
                <w:rFonts w:eastAsia="Times New Roman" w:cs="Arial"/>
                <w:color w:val="000000"/>
                <w:sz w:val="20"/>
                <w:szCs w:val="20"/>
                <w:lang w:val="es-AR" w:eastAsia="de-DE"/>
              </w:rPr>
              <w:t xml:space="preserve"> INFONA</w:t>
            </w:r>
          </w:p>
        </w:tc>
        <w:tc>
          <w:tcPr>
            <w:tcW w:w="3562" w:type="dxa"/>
            <w:noWrap/>
          </w:tcPr>
          <w:p w14:paraId="3B007680" w14:textId="5D8A23B6" w:rsidR="00CB589A" w:rsidRPr="00D00407" w:rsidRDefault="00CB589A" w:rsidP="00E2502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D00407">
              <w:rPr>
                <w:rFonts w:eastAsia="Times New Roman" w:cs="Arial"/>
                <w:color w:val="000000"/>
                <w:sz w:val="20"/>
                <w:szCs w:val="20"/>
                <w:lang w:val="en-US" w:eastAsia="de-DE"/>
              </w:rPr>
              <w:t>This Law creates the National Forestry Institute, which constitutes the body for the</w:t>
            </w:r>
            <w:r w:rsidR="00926956">
              <w:rPr>
                <w:rFonts w:eastAsia="Times New Roman" w:cs="Arial"/>
                <w:color w:val="000000"/>
                <w:sz w:val="20"/>
                <w:szCs w:val="20"/>
                <w:lang w:val="en-US" w:eastAsia="de-DE"/>
              </w:rPr>
              <w:t xml:space="preserve"> </w:t>
            </w:r>
            <w:r w:rsidRPr="00D00407">
              <w:rPr>
                <w:rFonts w:eastAsia="Times New Roman" w:cs="Arial"/>
                <w:color w:val="000000"/>
                <w:sz w:val="20"/>
                <w:szCs w:val="20"/>
                <w:lang w:val="en-US" w:eastAsia="de-DE"/>
              </w:rPr>
              <w:t>application of the rules established by the Forestry Law and by the Law to promote</w:t>
            </w:r>
            <w:r w:rsidR="00926956">
              <w:rPr>
                <w:rFonts w:eastAsia="Times New Roman" w:cs="Arial"/>
                <w:color w:val="000000"/>
                <w:sz w:val="20"/>
                <w:szCs w:val="20"/>
                <w:lang w:val="en-US" w:eastAsia="de-DE"/>
              </w:rPr>
              <w:t xml:space="preserve"> </w:t>
            </w:r>
            <w:r w:rsidRPr="00D00407">
              <w:rPr>
                <w:rFonts w:eastAsia="Times New Roman" w:cs="Arial"/>
                <w:color w:val="000000"/>
                <w:sz w:val="20"/>
                <w:szCs w:val="20"/>
                <w:lang w:val="en-US" w:eastAsia="de-DE"/>
              </w:rPr>
              <w:t xml:space="preserve">afforestation and reforestation </w:t>
            </w:r>
            <w:proofErr w:type="gramStart"/>
            <w:r w:rsidRPr="00D00407">
              <w:rPr>
                <w:rFonts w:eastAsia="Times New Roman" w:cs="Arial"/>
                <w:color w:val="000000"/>
                <w:sz w:val="20"/>
                <w:szCs w:val="20"/>
                <w:lang w:val="en-US" w:eastAsia="de-DE"/>
              </w:rPr>
              <w:t>and also</w:t>
            </w:r>
            <w:proofErr w:type="gramEnd"/>
            <w:r w:rsidRPr="00D00407">
              <w:rPr>
                <w:rFonts w:eastAsia="Times New Roman" w:cs="Arial"/>
                <w:color w:val="000000"/>
                <w:sz w:val="20"/>
                <w:szCs w:val="20"/>
                <w:lang w:val="en-US" w:eastAsia="de-DE"/>
              </w:rPr>
              <w:t xml:space="preserve"> determine that INFONA will have as a general</w:t>
            </w:r>
            <w:r>
              <w:rPr>
                <w:rFonts w:eastAsia="Times New Roman" w:cs="Arial"/>
                <w:color w:val="000000"/>
                <w:sz w:val="20"/>
                <w:szCs w:val="20"/>
                <w:lang w:val="en-US" w:eastAsia="de-DE"/>
              </w:rPr>
              <w:t xml:space="preserve"> </w:t>
            </w:r>
            <w:r w:rsidRPr="00D00407">
              <w:rPr>
                <w:rFonts w:eastAsia="Times New Roman" w:cs="Arial"/>
                <w:color w:val="000000"/>
                <w:sz w:val="20"/>
                <w:szCs w:val="20"/>
                <w:lang w:val="en-US" w:eastAsia="de-DE"/>
              </w:rPr>
              <w:t>objective the administration, promotion and sustainable development of the country's</w:t>
            </w:r>
            <w:r>
              <w:rPr>
                <w:rFonts w:eastAsia="Times New Roman" w:cs="Arial"/>
                <w:color w:val="000000"/>
                <w:sz w:val="20"/>
                <w:szCs w:val="20"/>
                <w:lang w:val="en-US" w:eastAsia="de-DE"/>
              </w:rPr>
              <w:t xml:space="preserve"> </w:t>
            </w:r>
            <w:r w:rsidRPr="00D00407">
              <w:rPr>
                <w:rFonts w:eastAsia="Times New Roman" w:cs="Arial"/>
                <w:color w:val="000000"/>
                <w:sz w:val="20"/>
                <w:szCs w:val="20"/>
                <w:lang w:val="en-US" w:eastAsia="de-DE"/>
              </w:rPr>
              <w:t>forest resources, in terms of their defense, improvement, expansion and rational use.</w:t>
            </w:r>
          </w:p>
        </w:tc>
        <w:tc>
          <w:tcPr>
            <w:tcW w:w="2948" w:type="dxa"/>
            <w:noWrap/>
          </w:tcPr>
          <w:p w14:paraId="1BCEEE36" w14:textId="77777777" w:rsidR="00CB589A" w:rsidRPr="00607199" w:rsidRDefault="00CB589A" w:rsidP="00E2502C">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0E3259">
              <w:rPr>
                <w:rFonts w:cs="Arial"/>
                <w:sz w:val="20"/>
                <w:szCs w:val="20"/>
              </w:rPr>
              <w:t>Ministry of the Environment and Sustainable</w:t>
            </w:r>
            <w:r>
              <w:rPr>
                <w:rFonts w:cs="Arial"/>
                <w:sz w:val="20"/>
                <w:szCs w:val="20"/>
              </w:rPr>
              <w:t xml:space="preserve"> Development</w:t>
            </w:r>
          </w:p>
        </w:tc>
      </w:tr>
    </w:tbl>
    <w:p w14:paraId="122498F2" w14:textId="0A63A193" w:rsidR="007330EC" w:rsidRDefault="007330EC" w:rsidP="00D07B6F">
      <w:pPr>
        <w:pStyle w:val="Notes"/>
        <w:spacing w:after="0"/>
        <w:jc w:val="center"/>
      </w:pPr>
      <w:r w:rsidRPr="00102605">
        <w:t xml:space="preserve">Source: </w:t>
      </w:r>
      <w:r w:rsidR="003E3617" w:rsidRPr="00102605">
        <w:t>JICA, 2021</w:t>
      </w:r>
      <w:r w:rsidR="003741EC">
        <w:t xml:space="preserve"> / </w:t>
      </w:r>
      <w:hyperlink r:id="rId17" w:history="1">
        <w:r w:rsidR="003741EC" w:rsidRPr="00931127">
          <w:rPr>
            <w:rStyle w:val="Hipervnculo"/>
          </w:rPr>
          <w:t>www.mades.gov.py/leyes/</w:t>
        </w:r>
      </w:hyperlink>
    </w:p>
    <w:p w14:paraId="0DF77E97" w14:textId="77777777" w:rsidR="003741EC" w:rsidRDefault="003741EC" w:rsidP="00D07B6F">
      <w:pPr>
        <w:pStyle w:val="Notes"/>
        <w:spacing w:after="0"/>
        <w:jc w:val="center"/>
      </w:pPr>
    </w:p>
    <w:p w14:paraId="30932620" w14:textId="77777777" w:rsidR="00687802" w:rsidRPr="00102605" w:rsidRDefault="00687802" w:rsidP="00D07B6F">
      <w:pPr>
        <w:pStyle w:val="Notes"/>
        <w:spacing w:after="0"/>
        <w:jc w:val="center"/>
      </w:pPr>
    </w:p>
    <w:p w14:paraId="69E6E2A2" w14:textId="52CD224C" w:rsidR="00791825" w:rsidRPr="00461FA4" w:rsidRDefault="00791825" w:rsidP="00791825">
      <w:pPr>
        <w:spacing w:after="0" w:line="240" w:lineRule="auto"/>
        <w:rPr>
          <w:b/>
          <w:bCs/>
        </w:rPr>
      </w:pPr>
      <w:r w:rsidRPr="00461FA4">
        <w:rPr>
          <w:b/>
          <w:bCs/>
        </w:rPr>
        <w:t xml:space="preserve">The guarantees indigenous </w:t>
      </w:r>
      <w:r>
        <w:rPr>
          <w:b/>
          <w:bCs/>
        </w:rPr>
        <w:t xml:space="preserve">people </w:t>
      </w:r>
      <w:r w:rsidRPr="00461FA4">
        <w:rPr>
          <w:b/>
          <w:bCs/>
        </w:rPr>
        <w:t>rights</w:t>
      </w:r>
      <w:r>
        <w:rPr>
          <w:rStyle w:val="Refdenotaalpie"/>
          <w:b/>
          <w:bCs/>
        </w:rPr>
        <w:footnoteReference w:id="18"/>
      </w:r>
    </w:p>
    <w:p w14:paraId="59914DB9" w14:textId="77777777" w:rsidR="00791825" w:rsidRDefault="00791825" w:rsidP="00791825">
      <w:pPr>
        <w:spacing w:after="0" w:line="240" w:lineRule="auto"/>
      </w:pPr>
    </w:p>
    <w:p w14:paraId="365F8920" w14:textId="77777777" w:rsidR="00791825" w:rsidRDefault="00791825" w:rsidP="00791825">
      <w:pPr>
        <w:spacing w:after="0" w:line="240" w:lineRule="auto"/>
      </w:pPr>
      <w:r w:rsidRPr="00DA0716">
        <w:t>Paraguay has a legal framework that guarantees and recognises a wide range of rights to Indigenous Peoples, having ratified the main instruments of international human rights law, both in the universal and Inter-American systems.</w:t>
      </w:r>
      <w:r>
        <w:t xml:space="preserve"> The legal and policy basis on indigenous law and on its institutions of natural resources defence and protection are established under: </w:t>
      </w:r>
      <w:r>
        <w:cr/>
      </w:r>
    </w:p>
    <w:p w14:paraId="0A1C5F14" w14:textId="77777777" w:rsidR="00791825" w:rsidRDefault="00791825" w:rsidP="00791825">
      <w:pPr>
        <w:pStyle w:val="Prrafodelista"/>
        <w:numPr>
          <w:ilvl w:val="0"/>
          <w:numId w:val="75"/>
        </w:numPr>
        <w:spacing w:after="0" w:line="240" w:lineRule="auto"/>
        <w:ind w:left="426" w:hanging="426"/>
      </w:pPr>
      <w:r>
        <w:t>The National Constitution declares that Paraguay is a multi-ethnic and multi-cultural country. In this sense, several of its articles ensure specific and customary rights of indigenous peoples. Articles 63, 64 and 65:</w:t>
      </w:r>
    </w:p>
    <w:p w14:paraId="7D783C8E" w14:textId="77777777" w:rsidR="00791825" w:rsidRDefault="00791825" w:rsidP="00791825">
      <w:pPr>
        <w:pStyle w:val="Prrafodelista"/>
        <w:numPr>
          <w:ilvl w:val="1"/>
          <w:numId w:val="75"/>
        </w:numPr>
        <w:spacing w:after="0" w:line="240" w:lineRule="auto"/>
        <w:ind w:left="851" w:hanging="425"/>
      </w:pPr>
      <w:r>
        <w:t>Art. No. 63 recognizes and guarantees the indigenous right to preserve and develop their identity and to apply their systems of political, social, economic, cultural organization and religious, in addition to the voluntary submission to their customary norms in internal affairs.</w:t>
      </w:r>
    </w:p>
    <w:p w14:paraId="08B81FEE" w14:textId="77777777" w:rsidR="00791825" w:rsidRDefault="00791825" w:rsidP="00791825">
      <w:pPr>
        <w:pStyle w:val="Prrafodelista"/>
        <w:numPr>
          <w:ilvl w:val="1"/>
          <w:numId w:val="75"/>
        </w:numPr>
        <w:spacing w:after="0" w:line="240" w:lineRule="auto"/>
        <w:ind w:left="851" w:hanging="425"/>
      </w:pPr>
      <w:r w:rsidRPr="00CB3771">
        <w:t>Art. No. 64</w:t>
      </w:r>
      <w:r>
        <w:t>:</w:t>
      </w:r>
      <w:r w:rsidRPr="00CB3771">
        <w:t xml:space="preserve"> recognizes the right to communal land ownership</w:t>
      </w:r>
      <w:r>
        <w:t>. (In this aspect, the National Constitution defends the recognition of the right to communal property, not individual, of the lands that must be protected against deforestation, environmental contamination and, above all, against economic and social exploitation).</w:t>
      </w:r>
    </w:p>
    <w:p w14:paraId="1AADA92E" w14:textId="77777777" w:rsidR="00791825" w:rsidRDefault="00791825" w:rsidP="00791825">
      <w:pPr>
        <w:pStyle w:val="Prrafodelista"/>
        <w:numPr>
          <w:ilvl w:val="1"/>
          <w:numId w:val="75"/>
        </w:numPr>
        <w:spacing w:after="0" w:line="240" w:lineRule="auto"/>
        <w:ind w:left="851" w:hanging="425"/>
      </w:pPr>
      <w:r>
        <w:t xml:space="preserve">Art. No. 65: It is guaranteed for indigenous peoples to have the right to participate in the economic, social, political, and cultural life of the country, in accordance with its customary practices, this Constitution and national laws.  </w:t>
      </w:r>
    </w:p>
    <w:p w14:paraId="13401AA3" w14:textId="77777777" w:rsidR="00791825" w:rsidRDefault="00791825" w:rsidP="00791825">
      <w:pPr>
        <w:pStyle w:val="Prrafodelista"/>
        <w:numPr>
          <w:ilvl w:val="0"/>
          <w:numId w:val="75"/>
        </w:numPr>
        <w:spacing w:after="0" w:line="240" w:lineRule="auto"/>
        <w:ind w:left="426" w:hanging="426"/>
      </w:pPr>
      <w:r w:rsidRPr="005D12DC">
        <w:t>L</w:t>
      </w:r>
      <w:r>
        <w:t>aw</w:t>
      </w:r>
      <w:r w:rsidRPr="005D12DC">
        <w:t xml:space="preserve"> N</w:t>
      </w:r>
      <w:r>
        <w:t>o</w:t>
      </w:r>
      <w:r w:rsidRPr="005D12DC">
        <w:t>. 2311</w:t>
      </w:r>
      <w:r>
        <w:t>: which ratifies ILO Convention 169 on Indigenous Peoples. The cornerstone for the application of Convention 169 is the right of indigenous peoples to be consulted and to participate in the decision-making process that affects them. And the consent must be given freely, obtained before the implementation of the activities, and be based on an indigenous people full understanding of the issues involved in the activity or decision in question.</w:t>
      </w:r>
    </w:p>
    <w:p w14:paraId="1D4A9949" w14:textId="1788D636" w:rsidR="00791825" w:rsidRDefault="00791825" w:rsidP="00791825">
      <w:pPr>
        <w:pStyle w:val="Prrafodelista"/>
        <w:numPr>
          <w:ilvl w:val="0"/>
          <w:numId w:val="75"/>
        </w:numPr>
        <w:spacing w:after="0" w:line="240" w:lineRule="auto"/>
        <w:ind w:left="426" w:hanging="426"/>
      </w:pPr>
      <w:r>
        <w:t>The UN Declaration on the Rights of Indigenous Peoples (2007) Article 29. Indigenous peoples have rights to the conservation and protection of the environment and the productive capacity of their lands or territories and resources (...) Article 39. Indigenous peoples have the right to financial and technical assistance from States and through international cooperation to access the rights set forth in this Declaration.</w:t>
      </w:r>
    </w:p>
    <w:p w14:paraId="51E75697" w14:textId="77777777" w:rsidR="00791825" w:rsidRDefault="00791825" w:rsidP="00791825">
      <w:pPr>
        <w:pStyle w:val="Prrafodelista"/>
        <w:numPr>
          <w:ilvl w:val="0"/>
          <w:numId w:val="75"/>
        </w:numPr>
        <w:spacing w:after="0" w:line="240" w:lineRule="auto"/>
        <w:ind w:left="426" w:hanging="426"/>
      </w:pPr>
      <w:r w:rsidRPr="00E23C38">
        <w:t>Law No. 43/89. Land Regularization</w:t>
      </w:r>
      <w:r>
        <w:t>. This law creates the official institution in charge of indigenous affairs (the INDI) and establishes the administrative procedure for the recognition of legal status and the regulation of land tenure of indigenous communities through INDI and the Rural Welfare Institute (currently the Rural Development Institute and from Earth, INDERT).</w:t>
      </w:r>
    </w:p>
    <w:p w14:paraId="32F1CD3A" w14:textId="77777777" w:rsidR="00791825" w:rsidRDefault="00791825" w:rsidP="00791825">
      <w:pPr>
        <w:pStyle w:val="Prrafodelista"/>
        <w:numPr>
          <w:ilvl w:val="0"/>
          <w:numId w:val="75"/>
        </w:numPr>
        <w:spacing w:after="0" w:line="240" w:lineRule="auto"/>
        <w:ind w:left="426" w:hanging="426"/>
      </w:pPr>
      <w:r>
        <w:t>Law 904/81. Statute of Indigenous Communities (ECI for its initials in Spanish). This is the main legislative instrument referring to the rights of indigenous peoples in Paraguay. (</w:t>
      </w:r>
      <w:r w:rsidRPr="008C4E53">
        <w:t>Law No. 919/96. Modifies</w:t>
      </w:r>
      <w:r>
        <w:t xml:space="preserve"> Art. 30 and 62 of</w:t>
      </w:r>
      <w:r w:rsidRPr="008C4E53">
        <w:t xml:space="preserve"> the Statute of the Indigenous Communities</w:t>
      </w:r>
      <w:r>
        <w:t>)</w:t>
      </w:r>
    </w:p>
    <w:p w14:paraId="015AF2E8" w14:textId="77777777" w:rsidR="00791825" w:rsidRDefault="00791825" w:rsidP="00791825">
      <w:pPr>
        <w:pStyle w:val="Prrafodelista"/>
        <w:numPr>
          <w:ilvl w:val="0"/>
          <w:numId w:val="75"/>
        </w:numPr>
        <w:spacing w:after="0" w:line="240" w:lineRule="auto"/>
        <w:ind w:left="426" w:hanging="426"/>
      </w:pPr>
      <w:r w:rsidRPr="00960230">
        <w:t>Law No. 43/89. Land Regularization</w:t>
      </w:r>
      <w:r>
        <w:t>. With the scope of this Law, indigenous people can request the prohibition of carrying out improvements and destruction of the forests in the areas determined as traditional settlement of their communities, while the procedures for land regularization in their name last.</w:t>
      </w:r>
    </w:p>
    <w:p w14:paraId="192550AD" w14:textId="77777777" w:rsidR="00791825" w:rsidRDefault="00791825" w:rsidP="00791825">
      <w:pPr>
        <w:pStyle w:val="Prrafodelista"/>
        <w:numPr>
          <w:ilvl w:val="0"/>
          <w:numId w:val="75"/>
        </w:numPr>
        <w:spacing w:after="0" w:line="240" w:lineRule="auto"/>
        <w:ind w:left="426" w:hanging="426"/>
      </w:pPr>
      <w:r w:rsidRPr="00B64495">
        <w:t xml:space="preserve">Decree No. 10,039/2018 </w:t>
      </w:r>
      <w:r>
        <w:t>Protocol for the process of Consultation and Free, Prior and Informed Consent with the indigenous peoples that inhabit Paraguay (</w:t>
      </w:r>
      <w:r w:rsidRPr="00B64495">
        <w:t>CCPLI</w:t>
      </w:r>
      <w:r>
        <w:t xml:space="preserve"> for its initials in Spanish). This decree establishes that the elaboration of each project or program with the Indigenous Peoples will be accompanied by a CCLPI process with each of the participating communities. </w:t>
      </w:r>
      <w:r w:rsidRPr="00BA7754">
        <w:t>The consultation will be carried out in the language of the ethnic group.</w:t>
      </w:r>
    </w:p>
    <w:p w14:paraId="4794BEA3" w14:textId="77777777" w:rsidR="00791825" w:rsidRDefault="00791825" w:rsidP="00791825">
      <w:pPr>
        <w:spacing w:after="0" w:line="240" w:lineRule="auto"/>
      </w:pPr>
    </w:p>
    <w:p w14:paraId="306244A0" w14:textId="77777777" w:rsidR="00791825" w:rsidRPr="00C77209" w:rsidRDefault="00791825" w:rsidP="00791825">
      <w:pPr>
        <w:spacing w:after="0" w:line="240" w:lineRule="auto"/>
        <w:rPr>
          <w:b/>
          <w:bCs/>
        </w:rPr>
      </w:pPr>
      <w:r w:rsidRPr="00C77209">
        <w:rPr>
          <w:b/>
          <w:bCs/>
        </w:rPr>
        <w:t>Gender</w:t>
      </w:r>
      <w:r>
        <w:rPr>
          <w:rStyle w:val="Refdenotaalpie"/>
          <w:b/>
          <w:bCs/>
        </w:rPr>
        <w:footnoteReference w:id="19"/>
      </w:r>
    </w:p>
    <w:p w14:paraId="44EF8258" w14:textId="77777777" w:rsidR="00791825" w:rsidRPr="00C77209" w:rsidRDefault="00791825" w:rsidP="00791825">
      <w:pPr>
        <w:spacing w:after="0" w:line="240" w:lineRule="auto"/>
      </w:pPr>
      <w:r w:rsidRPr="00C77209">
        <w:t>Paraguay’s Ministry of Women (</w:t>
      </w:r>
      <w:proofErr w:type="spellStart"/>
      <w:r w:rsidRPr="00C77209">
        <w:t>Ministerio</w:t>
      </w:r>
      <w:proofErr w:type="spellEnd"/>
      <w:r w:rsidRPr="00C77209">
        <w:t xml:space="preserve"> de la </w:t>
      </w:r>
      <w:proofErr w:type="spellStart"/>
      <w:r w:rsidRPr="00C77209">
        <w:t>Mujer</w:t>
      </w:r>
      <w:proofErr w:type="spellEnd"/>
      <w:r w:rsidRPr="00C77209">
        <w:t>) is currently implementing the National Equality Plan 2018-2024</w:t>
      </w:r>
      <w:r w:rsidRPr="00C77209">
        <w:rPr>
          <w:rStyle w:val="Refdenotaalpie"/>
          <w:lang w:val="es-AR"/>
        </w:rPr>
        <w:footnoteReference w:id="20"/>
      </w:r>
      <w:r w:rsidRPr="00C77209">
        <w:t xml:space="preserve"> (Paraguay Ministry of Women, 2018). The policy identifies obstacles to women’s equality and then sets objectives and targets. </w:t>
      </w:r>
    </w:p>
    <w:p w14:paraId="33684A1A" w14:textId="77777777" w:rsidR="00791825" w:rsidRPr="005D5CF5" w:rsidRDefault="00791825" w:rsidP="00791825">
      <w:pPr>
        <w:spacing w:after="0" w:line="240" w:lineRule="auto"/>
        <w:rPr>
          <w:lang w:val="en-US"/>
        </w:rPr>
      </w:pPr>
    </w:p>
    <w:p w14:paraId="42EFA302" w14:textId="7997C3A6" w:rsidR="00791825" w:rsidRDefault="00791825" w:rsidP="00791825">
      <w:pPr>
        <w:spacing w:after="0" w:line="240" w:lineRule="auto"/>
      </w:pPr>
      <w:r w:rsidRPr="002A494B">
        <w:t>Legal Framework and Institutional Mechanisms</w:t>
      </w:r>
    </w:p>
    <w:p w14:paraId="6A0915D7" w14:textId="77777777" w:rsidR="00D63CEF" w:rsidRPr="002A494B" w:rsidRDefault="00D63CEF" w:rsidP="00791825">
      <w:pPr>
        <w:spacing w:after="0" w:line="240" w:lineRule="auto"/>
      </w:pPr>
    </w:p>
    <w:p w14:paraId="7E4D5C37" w14:textId="77777777" w:rsidR="00791825" w:rsidRPr="002A494B" w:rsidRDefault="00791825" w:rsidP="00791825">
      <w:pPr>
        <w:pStyle w:val="Prrafodelista"/>
        <w:numPr>
          <w:ilvl w:val="0"/>
          <w:numId w:val="72"/>
        </w:numPr>
        <w:spacing w:after="0" w:line="240" w:lineRule="auto"/>
        <w:ind w:left="426" w:hanging="426"/>
      </w:pPr>
      <w:r w:rsidRPr="002A494B">
        <w:t xml:space="preserve">​Convention on the Elimination of All forms of Discrimination Against Women (CEDAW). Accession in 1987. Ratification of Optional Protocol in 2001. Main reference document for equality between men and women. Through its ratification or accession to it the States are legally bound to adopt all necessary measures, including special temporary measures and laws, </w:t>
      </w:r>
      <w:proofErr w:type="gramStart"/>
      <w:r w:rsidRPr="002A494B">
        <w:t>in order for</w:t>
      </w:r>
      <w:proofErr w:type="gramEnd"/>
      <w:r w:rsidRPr="002A494B">
        <w:t xml:space="preserve"> women to fully enjoy all their human rights and fundamental freedoms.</w:t>
      </w:r>
    </w:p>
    <w:p w14:paraId="78D797AC" w14:textId="77777777" w:rsidR="00791825" w:rsidRPr="002A494B" w:rsidRDefault="00791825" w:rsidP="00791825">
      <w:pPr>
        <w:pStyle w:val="Prrafodelista"/>
        <w:numPr>
          <w:ilvl w:val="0"/>
          <w:numId w:val="72"/>
        </w:numPr>
        <w:spacing w:after="0" w:line="240" w:lineRule="auto"/>
        <w:ind w:left="426" w:hanging="426"/>
      </w:pPr>
      <w:r w:rsidRPr="002A494B">
        <w:t>Beijing Declaration and Platform for Action (1995). The signatory countries take responsibility for the implementation of the Platform for Action, in which 12 critical areas of concern for the advancement of women are defined.</w:t>
      </w:r>
    </w:p>
    <w:p w14:paraId="01E29EB2" w14:textId="778E87F7" w:rsidR="00791825" w:rsidRPr="002A494B" w:rsidRDefault="00791825" w:rsidP="00791825">
      <w:pPr>
        <w:pStyle w:val="Prrafodelista"/>
        <w:numPr>
          <w:ilvl w:val="0"/>
          <w:numId w:val="72"/>
        </w:numPr>
        <w:spacing w:after="0" w:line="240" w:lineRule="auto"/>
        <w:ind w:left="426" w:hanging="426"/>
      </w:pPr>
      <w:r w:rsidRPr="002A494B">
        <w:t>Political Constitution (1992). Art. 48: On Equal rights between men and women. Men and women enjoy equal civil, political, social, economic, and cultural rights. It establishes that the State shall promote conditions and create adequate mechanisms for equality to be real and effective, thus levelling obstacles which hinder or interfere with its exercise while facilitating women's participation in all spheres of national life.</w:t>
      </w:r>
    </w:p>
    <w:p w14:paraId="6DEEB3DB" w14:textId="32031155" w:rsidR="00791825" w:rsidRPr="002A494B" w:rsidRDefault="00791825" w:rsidP="00791825">
      <w:pPr>
        <w:pStyle w:val="Prrafodelista"/>
        <w:numPr>
          <w:ilvl w:val="0"/>
          <w:numId w:val="72"/>
        </w:numPr>
        <w:spacing w:after="0" w:line="240" w:lineRule="auto"/>
        <w:ind w:left="426" w:hanging="426"/>
      </w:pPr>
      <w:r w:rsidRPr="002A494B">
        <w:t>Ministry of Women (2012). It promotes and implements public policies with gender perspective, for the full enjoyment of women's human rights.</w:t>
      </w:r>
    </w:p>
    <w:p w14:paraId="7976C44E" w14:textId="77777777" w:rsidR="00791825" w:rsidRDefault="00791825" w:rsidP="00791825">
      <w:pPr>
        <w:spacing w:after="0" w:line="240" w:lineRule="auto"/>
      </w:pPr>
    </w:p>
    <w:p w14:paraId="5C55DCE5" w14:textId="77777777" w:rsidR="00791825" w:rsidRDefault="00791825" w:rsidP="00791825">
      <w:pPr>
        <w:spacing w:after="0" w:line="240" w:lineRule="auto"/>
      </w:pPr>
      <w:r w:rsidRPr="00685E07">
        <w:t>Equal opportunities</w:t>
      </w:r>
    </w:p>
    <w:p w14:paraId="65082112" w14:textId="77777777" w:rsidR="00791825" w:rsidRDefault="00791825" w:rsidP="00791825">
      <w:pPr>
        <w:pStyle w:val="Prrafodelista"/>
        <w:numPr>
          <w:ilvl w:val="0"/>
          <w:numId w:val="73"/>
        </w:numPr>
        <w:spacing w:after="0" w:line="240" w:lineRule="auto"/>
        <w:ind w:left="426" w:hanging="426"/>
      </w:pPr>
      <w:r>
        <w:t>Plan for Equality between Men and Women 2008-2017. It promotes the inclusion of the gender perspective into the development, coordination, implementation, monitoring and evaluation of public policies, through efficient regulatory instruments and actions aimed at eliminating all forms of gender discrimination and promoting equality of opportunity and results, encouraging the democratization of the society.</w:t>
      </w:r>
    </w:p>
    <w:p w14:paraId="03E98E41" w14:textId="77777777" w:rsidR="00791825" w:rsidRDefault="00791825" w:rsidP="00791825">
      <w:pPr>
        <w:pStyle w:val="Prrafodelista"/>
        <w:numPr>
          <w:ilvl w:val="0"/>
          <w:numId w:val="73"/>
        </w:numPr>
        <w:spacing w:after="0" w:line="240" w:lineRule="auto"/>
        <w:ind w:left="426" w:hanging="426"/>
      </w:pPr>
      <w:r>
        <w:t>National Development Plan 2014-2030. It includes gender equality policies for the achievement of equality of opportunity and treatment between men and women.</w:t>
      </w:r>
    </w:p>
    <w:p w14:paraId="3202F781" w14:textId="77777777" w:rsidR="00791825" w:rsidRDefault="00791825" w:rsidP="00791825">
      <w:pPr>
        <w:pStyle w:val="Prrafodelista"/>
        <w:numPr>
          <w:ilvl w:val="0"/>
          <w:numId w:val="73"/>
        </w:numPr>
        <w:spacing w:after="0" w:line="240" w:lineRule="auto"/>
        <w:ind w:left="426" w:hanging="426"/>
      </w:pPr>
      <w:r>
        <w:t>Labour Code (1993). It ensures that women enjoy the same labour rights and have the same obligations as men.</w:t>
      </w:r>
    </w:p>
    <w:p w14:paraId="36DDE9EE" w14:textId="77777777" w:rsidR="00791825" w:rsidRDefault="00791825" w:rsidP="00791825">
      <w:pPr>
        <w:spacing w:after="0" w:line="240" w:lineRule="auto"/>
      </w:pPr>
    </w:p>
    <w:p w14:paraId="7A640FAC" w14:textId="77777777" w:rsidR="00791825" w:rsidRDefault="00791825" w:rsidP="00791825">
      <w:pPr>
        <w:spacing w:after="0" w:line="240" w:lineRule="auto"/>
      </w:pPr>
      <w:r w:rsidRPr="00720195">
        <w:t>Personal and labour conciliation</w:t>
      </w:r>
    </w:p>
    <w:p w14:paraId="6BBA2CDF" w14:textId="0EB4AEA7" w:rsidR="00791825" w:rsidRDefault="00791825" w:rsidP="00791825">
      <w:pPr>
        <w:pStyle w:val="Prrafodelista"/>
        <w:numPr>
          <w:ilvl w:val="0"/>
          <w:numId w:val="74"/>
        </w:numPr>
        <w:spacing w:after="0" w:line="240" w:lineRule="auto"/>
        <w:ind w:left="426" w:hanging="426"/>
      </w:pPr>
      <w:r w:rsidRPr="00F938ED">
        <w:t>Act 5.508 on promotion and protection of maternity, and support of breastfeeding (2015). This act's goal is to promote, protect and support breastfeeding among working women. In its</w:t>
      </w:r>
      <w:r w:rsidRPr="00926956">
        <w:t xml:space="preserve"> 1</w:t>
      </w:r>
      <w:r w:rsidRPr="00F938ED">
        <w:t>1th article, it establishes that all working women shall have the right to fully access maternity leave for a period of 18 (eighteen) uninterrupted weeks; besides, it grants – in its</w:t>
      </w:r>
      <w:r w:rsidRPr="00926956">
        <w:t xml:space="preserve"> 1</w:t>
      </w:r>
      <w:r w:rsidRPr="00F938ED">
        <w:t xml:space="preserve">3th article and bearing "non-waivable status" – 2 (two) weeks after birth, </w:t>
      </w:r>
      <w:proofErr w:type="spellStart"/>
      <w:r w:rsidRPr="00F938ED">
        <w:t>toany</w:t>
      </w:r>
      <w:proofErr w:type="spellEnd"/>
      <w:r w:rsidRPr="00F938ED">
        <w:t xml:space="preserve"> father of a new-born, whose full payment is to be covered by the employer.</w:t>
      </w:r>
    </w:p>
    <w:p w14:paraId="38EA0CD5" w14:textId="77777777" w:rsidR="00791825" w:rsidRDefault="00791825" w:rsidP="00791825">
      <w:pPr>
        <w:spacing w:after="0" w:line="240" w:lineRule="auto"/>
      </w:pPr>
      <w:r>
        <w:t>Violence due to gender</w:t>
      </w:r>
    </w:p>
    <w:p w14:paraId="05FB293D" w14:textId="77777777" w:rsidR="00791825" w:rsidRDefault="00791825" w:rsidP="00791825">
      <w:pPr>
        <w:pStyle w:val="Prrafodelista"/>
        <w:numPr>
          <w:ilvl w:val="0"/>
          <w:numId w:val="74"/>
        </w:numPr>
        <w:spacing w:after="0" w:line="240" w:lineRule="auto"/>
        <w:ind w:left="426" w:hanging="426"/>
      </w:pPr>
      <w:r>
        <w:t>​Act 1.600 against Domestic Violence (2000). It is a provisional measure to protect a victim of violence's life, whether the person cohabitates with the aggressor or not. It stipulates protection measures, as ordered by the zone's justice of the peace, anticipating police protection.</w:t>
      </w:r>
    </w:p>
    <w:p w14:paraId="0F69C52E" w14:textId="77777777" w:rsidR="00791825" w:rsidRPr="00102605" w:rsidRDefault="00791825" w:rsidP="00791825">
      <w:pPr>
        <w:pStyle w:val="Prrafodelista"/>
        <w:numPr>
          <w:ilvl w:val="0"/>
          <w:numId w:val="74"/>
        </w:numPr>
        <w:spacing w:after="0" w:line="240" w:lineRule="auto"/>
        <w:ind w:left="426" w:hanging="426"/>
      </w:pPr>
      <w:r>
        <w:t>Criminal Code (1997). The concept of punishable acts against sexual autonomy is introduced in the existing Criminal Code.</w:t>
      </w:r>
    </w:p>
    <w:p w14:paraId="67BE3C24" w14:textId="01BD43E5" w:rsidR="00791825" w:rsidRDefault="00791825" w:rsidP="00791825">
      <w:pPr>
        <w:spacing w:after="0" w:line="240" w:lineRule="auto"/>
      </w:pPr>
    </w:p>
    <w:p w14:paraId="2C8B5FA0" w14:textId="77777777" w:rsidR="006029C5" w:rsidRPr="00102605" w:rsidRDefault="006029C5" w:rsidP="00D07B6F">
      <w:pPr>
        <w:spacing w:after="0" w:line="240" w:lineRule="auto"/>
        <w:rPr>
          <w:b/>
        </w:rPr>
      </w:pPr>
      <w:r w:rsidRPr="00102605">
        <w:rPr>
          <w:b/>
        </w:rPr>
        <w:t>Transport Sector</w:t>
      </w:r>
    </w:p>
    <w:p w14:paraId="79E040C8" w14:textId="77777777" w:rsidR="006029C5" w:rsidRPr="00102605" w:rsidRDefault="006029C5" w:rsidP="00D07B6F">
      <w:pPr>
        <w:spacing w:after="0" w:line="240" w:lineRule="auto"/>
      </w:pPr>
      <w:r w:rsidRPr="00102605">
        <w:t>Paraguay has a vehicle fleet of about 2.5 million units (2019). Road transport GHG emissions (tank to wheel) of Paraguay are estimated at 7.99 million tCO2eq in 2018. Commercial vehicles including taxis, buses and LCVs are responsible for 22% of GHG emissions. Trucks and LCVs comprise around 58% of NOx, PM2.5 and BC emissions, yet trucks and LCVs are only 12.6% of the total vehicle stock. This result is due to being the main consumer of diesel in the transport sector. GHG emission from the transport sector are expected to grow under a BAU scenario by around 69% reaching 13.53 million tCO2eq by 2030.</w:t>
      </w:r>
    </w:p>
    <w:p w14:paraId="434DAFD8" w14:textId="77777777" w:rsidR="002E5305" w:rsidRPr="00C16F9C" w:rsidRDefault="002E5305" w:rsidP="002E5305">
      <w:pPr>
        <w:spacing w:after="0" w:line="240" w:lineRule="auto"/>
        <w:rPr>
          <w:lang w:val="en-US"/>
        </w:rPr>
      </w:pPr>
      <w:r>
        <w:rPr>
          <w:lang w:val="en-US"/>
        </w:rPr>
        <w:t>The</w:t>
      </w:r>
      <w:r w:rsidRPr="00C16F9C">
        <w:rPr>
          <w:lang w:val="en-US"/>
        </w:rPr>
        <w:t xml:space="preserve"> vehicle fleet </w:t>
      </w:r>
      <w:r>
        <w:rPr>
          <w:lang w:val="en-US"/>
        </w:rPr>
        <w:t xml:space="preserve">in all segments </w:t>
      </w:r>
      <w:r w:rsidRPr="00C16F9C">
        <w:rPr>
          <w:lang w:val="en-US"/>
        </w:rPr>
        <w:t xml:space="preserve">is relatively old </w:t>
      </w:r>
      <w:proofErr w:type="gramStart"/>
      <w:r w:rsidRPr="00C16F9C">
        <w:rPr>
          <w:lang w:val="en-US"/>
        </w:rPr>
        <w:t>due to the fact that</w:t>
      </w:r>
      <w:proofErr w:type="gramEnd"/>
      <w:r w:rsidRPr="00C16F9C">
        <w:rPr>
          <w:lang w:val="en-US"/>
        </w:rPr>
        <w:t xml:space="preserve"> most of these are imported second-hand</w:t>
      </w:r>
      <w:r>
        <w:rPr>
          <w:lang w:val="en-US"/>
        </w:rPr>
        <w:t xml:space="preserve">, </w:t>
      </w:r>
      <w:r w:rsidRPr="00C16F9C">
        <w:rPr>
          <w:lang w:val="en-US"/>
        </w:rPr>
        <w:t xml:space="preserve">between the range of 15-18 years and 20-21 years; therefore, with poor standards of efficiency and </w:t>
      </w:r>
      <w:r w:rsidRPr="004B5854">
        <w:rPr>
          <w:lang w:val="en-US"/>
        </w:rPr>
        <w:t>emissions.</w:t>
      </w:r>
      <w:r w:rsidRPr="004B5854">
        <w:rPr>
          <w:rStyle w:val="Refdenotaalpie"/>
          <w:b/>
        </w:rPr>
        <w:footnoteReference w:id="21"/>
      </w:r>
    </w:p>
    <w:p w14:paraId="165FBCA0" w14:textId="77777777" w:rsidR="002E5305" w:rsidRPr="00C16F9C" w:rsidRDefault="002E5305" w:rsidP="002E5305">
      <w:pPr>
        <w:spacing w:after="0" w:line="240" w:lineRule="auto"/>
        <w:rPr>
          <w:lang w:val="en-US"/>
        </w:rPr>
      </w:pPr>
    </w:p>
    <w:p w14:paraId="71D400B7" w14:textId="77777777" w:rsidR="002E5305" w:rsidRPr="00607199" w:rsidRDefault="002E5305" w:rsidP="002E5305">
      <w:pPr>
        <w:spacing w:after="0" w:line="240" w:lineRule="auto"/>
        <w:rPr>
          <w:lang w:val="es-AR"/>
        </w:rPr>
      </w:pPr>
      <w:r w:rsidRPr="008E3E03">
        <w:rPr>
          <w:lang w:val="en-US"/>
        </w:rPr>
        <w:t>Legal framework for biofuels</w:t>
      </w:r>
      <w:r>
        <w:rPr>
          <w:lang w:val="es-AR"/>
        </w:rPr>
        <w:t>:</w:t>
      </w:r>
    </w:p>
    <w:p w14:paraId="6D2C6E54" w14:textId="77777777" w:rsidR="002E5305" w:rsidRPr="00F43BDA" w:rsidRDefault="002E5305" w:rsidP="002E5305">
      <w:pPr>
        <w:pStyle w:val="Prrafodelista"/>
        <w:numPr>
          <w:ilvl w:val="0"/>
          <w:numId w:val="76"/>
        </w:numPr>
        <w:spacing w:after="0" w:line="240" w:lineRule="auto"/>
        <w:ind w:left="426" w:hanging="426"/>
        <w:rPr>
          <w:lang w:val="en-US"/>
        </w:rPr>
      </w:pPr>
      <w:r w:rsidRPr="00F43BDA">
        <w:rPr>
          <w:lang w:val="en-US"/>
        </w:rPr>
        <w:t>Law No. 2.748 on the Promotion of Biofuels (</w:t>
      </w:r>
      <w:r w:rsidRPr="00F43BDA">
        <w:rPr>
          <w:i/>
          <w:iCs/>
          <w:lang w:val="en-US"/>
        </w:rPr>
        <w:t xml:space="preserve">Ley de </w:t>
      </w:r>
      <w:proofErr w:type="spellStart"/>
      <w:r w:rsidRPr="00F43BDA">
        <w:rPr>
          <w:i/>
          <w:iCs/>
          <w:lang w:val="en-US"/>
        </w:rPr>
        <w:t>fomento</w:t>
      </w:r>
      <w:proofErr w:type="spellEnd"/>
      <w:r w:rsidRPr="00F43BDA">
        <w:rPr>
          <w:i/>
          <w:iCs/>
          <w:lang w:val="en-US"/>
        </w:rPr>
        <w:t xml:space="preserve"> de los </w:t>
      </w:r>
      <w:proofErr w:type="spellStart"/>
      <w:r w:rsidRPr="00F43BDA">
        <w:rPr>
          <w:i/>
          <w:iCs/>
          <w:lang w:val="en-US"/>
        </w:rPr>
        <w:t>biocombustibles</w:t>
      </w:r>
      <w:proofErr w:type="spellEnd"/>
      <w:r w:rsidRPr="00F43BDA">
        <w:rPr>
          <w:lang w:val="en-US"/>
        </w:rPr>
        <w:t xml:space="preserve">) was passed in </w:t>
      </w:r>
      <w:proofErr w:type="gramStart"/>
      <w:r w:rsidRPr="00F43BDA">
        <w:rPr>
          <w:lang w:val="en-US"/>
        </w:rPr>
        <w:t>October 2005, and</w:t>
      </w:r>
      <w:proofErr w:type="gramEnd"/>
      <w:r w:rsidRPr="00F43BDA">
        <w:rPr>
          <w:lang w:val="en-US"/>
        </w:rPr>
        <w:t xml:space="preserve"> was followed in 2006 by Decree No. 7.412 which provides for the implementation of regulations under the l</w:t>
      </w:r>
      <w:r>
        <w:rPr>
          <w:lang w:val="en-US"/>
        </w:rPr>
        <w:t>a</w:t>
      </w:r>
      <w:r w:rsidRPr="00F43BDA">
        <w:rPr>
          <w:lang w:val="en-US"/>
        </w:rPr>
        <w:t xml:space="preserve">w. Law Nr. 2.748 declares the industrial production of biofuel and its feedstock as well as its use within the national territory to be matters "of national interest". Article 15 of also provides that any person or company eligible to pursue biofuels-related activities will benefit from biofuel production incentives provided under Law. </w:t>
      </w:r>
      <w:proofErr w:type="spellStart"/>
      <w:r w:rsidRPr="00F43BDA">
        <w:rPr>
          <w:lang w:val="en-US"/>
        </w:rPr>
        <w:t>Nro</w:t>
      </w:r>
      <w:proofErr w:type="spellEnd"/>
      <w:r w:rsidRPr="00F43BDA">
        <w:rPr>
          <w:lang w:val="en-US"/>
        </w:rPr>
        <w:t>. 60/90 and Law. No. 2</w:t>
      </w:r>
      <w:r>
        <w:rPr>
          <w:lang w:val="en-US"/>
        </w:rPr>
        <w:t>.</w:t>
      </w:r>
      <w:r w:rsidRPr="00F43BDA">
        <w:rPr>
          <w:lang w:val="en-US"/>
        </w:rPr>
        <w:t>421/04.</w:t>
      </w:r>
    </w:p>
    <w:p w14:paraId="5C918479" w14:textId="77777777" w:rsidR="002E5305" w:rsidRPr="00A124E5" w:rsidRDefault="002E5305" w:rsidP="002E5305">
      <w:pPr>
        <w:pStyle w:val="Prrafodelista"/>
        <w:numPr>
          <w:ilvl w:val="0"/>
          <w:numId w:val="76"/>
        </w:numPr>
        <w:spacing w:after="0" w:line="240" w:lineRule="auto"/>
        <w:ind w:left="426" w:hanging="426"/>
        <w:rPr>
          <w:lang w:val="en-US"/>
        </w:rPr>
      </w:pPr>
      <w:r w:rsidRPr="00A124E5">
        <w:rPr>
          <w:lang w:val="en-US"/>
        </w:rPr>
        <w:t>Law N° 6.389/2019 and Decree N° 3.500/2020 which establishes the promotion regime for the sustainable production and mandatory use of biofuel suitable for use in diesel engines.</w:t>
      </w:r>
    </w:p>
    <w:p w14:paraId="55940ED1" w14:textId="77777777" w:rsidR="002E5305" w:rsidRPr="008123CB" w:rsidRDefault="002E5305" w:rsidP="002E5305">
      <w:pPr>
        <w:pStyle w:val="Prrafodelista"/>
        <w:numPr>
          <w:ilvl w:val="0"/>
          <w:numId w:val="76"/>
        </w:numPr>
        <w:spacing w:after="0" w:line="240" w:lineRule="auto"/>
        <w:ind w:left="426" w:hanging="426"/>
        <w:rPr>
          <w:lang w:val="en-US"/>
        </w:rPr>
      </w:pPr>
      <w:r w:rsidRPr="008123CB">
        <w:rPr>
          <w:lang w:val="en-US"/>
        </w:rPr>
        <w:t xml:space="preserve">Paraguay is </w:t>
      </w:r>
      <w:r w:rsidRPr="008123CB">
        <w:t>currently developing the “</w:t>
      </w:r>
      <w:r w:rsidRPr="008123CB">
        <w:rPr>
          <w:lang w:val="en-US"/>
        </w:rPr>
        <w:t>Multimodal Electric Mobility Master Plan for Urban and Logistic Public Transport”, which responds to the guidelines established in the National Development Plan Paraguay 2030</w:t>
      </w:r>
      <w:r w:rsidRPr="008123CB">
        <w:rPr>
          <w:rStyle w:val="Refdenotaalpie"/>
          <w:lang w:val="es-AR"/>
        </w:rPr>
        <w:footnoteReference w:id="22"/>
      </w:r>
      <w:r w:rsidRPr="008123CB">
        <w:rPr>
          <w:lang w:val="en-US"/>
        </w:rPr>
        <w:t>, the National Determined Contributions (NDC)</w:t>
      </w:r>
      <w:r w:rsidRPr="008123CB">
        <w:rPr>
          <w:rStyle w:val="Refdenotaalpie"/>
          <w:lang w:val="en-US"/>
        </w:rPr>
        <w:t xml:space="preserve"> </w:t>
      </w:r>
      <w:r w:rsidRPr="008123CB">
        <w:rPr>
          <w:rStyle w:val="Refdenotaalpie"/>
          <w:lang w:val="es-AR"/>
        </w:rPr>
        <w:footnoteReference w:id="23"/>
      </w:r>
      <w:r w:rsidRPr="008123CB">
        <w:rPr>
          <w:lang w:val="en-US"/>
        </w:rPr>
        <w:t xml:space="preserve"> and the National Electric Mobility Strategy.</w:t>
      </w:r>
    </w:p>
    <w:p w14:paraId="18498693" w14:textId="77777777" w:rsidR="002E5305" w:rsidRPr="002E5305" w:rsidRDefault="002E5305" w:rsidP="00D07B6F">
      <w:pPr>
        <w:spacing w:after="0" w:line="240" w:lineRule="auto"/>
        <w:rPr>
          <w:b/>
          <w:lang w:val="en-US"/>
        </w:rPr>
      </w:pPr>
    </w:p>
    <w:p w14:paraId="5B0BC052" w14:textId="2A187F35" w:rsidR="006029C5" w:rsidRPr="00102605" w:rsidRDefault="006029C5" w:rsidP="00D07B6F">
      <w:pPr>
        <w:spacing w:after="0" w:line="240" w:lineRule="auto"/>
        <w:rPr>
          <w:b/>
        </w:rPr>
      </w:pPr>
      <w:r w:rsidRPr="00102605">
        <w:rPr>
          <w:b/>
        </w:rPr>
        <w:t>Climate and Energy Policies</w:t>
      </w:r>
    </w:p>
    <w:p w14:paraId="6CDDEA25" w14:textId="45427AEE" w:rsidR="006029C5" w:rsidRDefault="006029C5" w:rsidP="00D07B6F">
      <w:pPr>
        <w:spacing w:after="0" w:line="240" w:lineRule="auto"/>
      </w:pPr>
      <w:r w:rsidRPr="00102605">
        <w:t>According to Climate Watch data, total emissions in Paraguay in 2018 were 95.23 million tCO2eq. Paraguay’s NDC aims to reduce 20% of the fossil fuel consumption by 2030, compared to the projected baseline. Unilaterally, the country aims to reduce 10% of projected emissions by 2030. Additionally, a conditional goal of 10% reduction in emissions projected by 2030 depends on international cooperation. Among the measures to be implemented in the transport sector, action lines for more efficient technologies in this sector are being evaluated together with the Vice Ministry of Transport, with electric mobility being one of these possibilities.</w:t>
      </w:r>
    </w:p>
    <w:p w14:paraId="2272D315" w14:textId="77777777" w:rsidR="00D07B6F" w:rsidRPr="00102605" w:rsidRDefault="00D07B6F" w:rsidP="00D07B6F">
      <w:pPr>
        <w:spacing w:after="0" w:line="240" w:lineRule="auto"/>
      </w:pPr>
    </w:p>
    <w:p w14:paraId="186C7DE9" w14:textId="5C8E0DCF" w:rsidR="006029C5" w:rsidRDefault="006029C5" w:rsidP="00D07B6F">
      <w:pPr>
        <w:spacing w:after="0" w:line="240" w:lineRule="auto"/>
      </w:pPr>
      <w:r w:rsidRPr="00102605">
        <w:t>Paraguay has an important development in terms of policies and plans related to climate change. The main legal basis is the National Climate Change Law, which establishes the National Climate Change Policy (PNCC) as the main instrument to define and achieve national objectives on the subject. The National Climate Change Policy (PNCC) will have a National Climate Change Plan that will detail an integrated model of action to achieve the objectives established in said policy. This plan will define national strategies for adaptation and mitigation of climate change. Also, the National Policy on Climate Change must be in line with the National Development Plan by 2030, and the necessary updates will be made for this purpose.</w:t>
      </w:r>
      <w:r w:rsidR="00B645A2" w:rsidRPr="00102605">
        <w:t xml:space="preserve"> </w:t>
      </w:r>
      <w:r w:rsidRPr="00102605">
        <w:t xml:space="preserve">Additionally, the Climate Change Fund was established, for which financial resources are provided from the Nation's Expenditure Budget, contributions and payments of rights provided for in the legislation, donations or contributions from natural and legal persons, </w:t>
      </w:r>
      <w:r w:rsidR="003F3E30" w:rsidRPr="00102605">
        <w:t>governments,</w:t>
      </w:r>
      <w:r w:rsidRPr="00102605">
        <w:t xml:space="preserve"> and international organizations.</w:t>
      </w:r>
    </w:p>
    <w:p w14:paraId="50B4A680" w14:textId="77777777" w:rsidR="00D07B6F" w:rsidRPr="00102605" w:rsidRDefault="00D07B6F" w:rsidP="00D07B6F">
      <w:pPr>
        <w:spacing w:after="0" w:line="240" w:lineRule="auto"/>
      </w:pPr>
    </w:p>
    <w:p w14:paraId="15271FD9" w14:textId="611811F2" w:rsidR="006029C5" w:rsidRDefault="006029C5" w:rsidP="00D07B6F">
      <w:pPr>
        <w:spacing w:after="0" w:line="240" w:lineRule="auto"/>
      </w:pPr>
      <w:r w:rsidRPr="00102605">
        <w:t xml:space="preserve">The Paraguayan power system has an installed capacity of 8.810 MW in hydro power plants, well above its own peak load. Paraguay shares ownership of large binational hydro power plants </w:t>
      </w:r>
      <w:proofErr w:type="spellStart"/>
      <w:r w:rsidRPr="00102605">
        <w:t>Itaipú</w:t>
      </w:r>
      <w:proofErr w:type="spellEnd"/>
      <w:r w:rsidRPr="00102605">
        <w:t xml:space="preserve"> (7.000 MW) and </w:t>
      </w:r>
      <w:proofErr w:type="spellStart"/>
      <w:r w:rsidRPr="00102605">
        <w:t>Yacyretá</w:t>
      </w:r>
      <w:proofErr w:type="spellEnd"/>
      <w:r w:rsidRPr="00102605">
        <w:t xml:space="preserve"> (3.200 MW) with Brazil and Argentina respectively, therefore the portion of energy generated by the Paraguayan bank of such plants exceeds the national demand and is exported to the </w:t>
      </w:r>
      <w:r w:rsidR="003F3E30" w:rsidRPr="00102605">
        <w:t>neighbouring</w:t>
      </w:r>
      <w:r w:rsidRPr="00102605">
        <w:t xml:space="preserve"> countries Brazil and Argentina. Hence, the carbon grid factor is 0.0 tCO2/MWh and is projected stay at zero by 2030. </w:t>
      </w:r>
      <w:r w:rsidR="00B645A2" w:rsidRPr="00102605">
        <w:t xml:space="preserve">Thus, </w:t>
      </w:r>
      <w:r w:rsidR="00143368">
        <w:t>EVs</w:t>
      </w:r>
      <w:r w:rsidR="00B645A2" w:rsidRPr="00102605">
        <w:t xml:space="preserve"> provide the opportunity to reduce various environmental and financial externalities resulting from mobility dependent on fossil fuels. In this context, the country is taking its first steps in the transition towards electric mobility, advancing with the development of technical standards for </w:t>
      </w:r>
      <w:r w:rsidR="00143368">
        <w:t>EVs</w:t>
      </w:r>
      <w:r w:rsidR="00B645A2" w:rsidRPr="00102605">
        <w:t>, and implementing “green routes”</w:t>
      </w:r>
      <w:r w:rsidR="00427A2D">
        <w:t xml:space="preserve"> </w:t>
      </w:r>
      <w:r w:rsidR="00B645A2" w:rsidRPr="00102605">
        <w:t xml:space="preserve">with chargers installed between the three main cities – Asunción, Ciudad del Este, and </w:t>
      </w:r>
      <w:proofErr w:type="spellStart"/>
      <w:r w:rsidR="00B645A2" w:rsidRPr="00102605">
        <w:t>Encarnación</w:t>
      </w:r>
      <w:proofErr w:type="spellEnd"/>
      <w:r w:rsidR="00B645A2" w:rsidRPr="00102605">
        <w:t>. The National Development Plan 2030 and the National Energy Policy 2040 consider e-mobility as one of the dimensions to achieve the country's development goals.</w:t>
      </w:r>
    </w:p>
    <w:p w14:paraId="4AF60E43" w14:textId="77777777" w:rsidR="00D07B6F" w:rsidRPr="00102605" w:rsidRDefault="00D07B6F" w:rsidP="00D07B6F">
      <w:pPr>
        <w:spacing w:after="0" w:line="240" w:lineRule="auto"/>
      </w:pPr>
    </w:p>
    <w:p w14:paraId="53A08722" w14:textId="2D5825BD" w:rsidR="006029C5" w:rsidRPr="00102605" w:rsidRDefault="006029C5" w:rsidP="00D07B6F">
      <w:pPr>
        <w:pStyle w:val="Ttulo1"/>
        <w:numPr>
          <w:ilvl w:val="2"/>
          <w:numId w:val="1"/>
        </w:numPr>
        <w:spacing w:before="0" w:after="0" w:line="240" w:lineRule="auto"/>
      </w:pPr>
      <w:bookmarkStart w:id="15" w:name="_Toc114152209"/>
      <w:r w:rsidRPr="00102605">
        <w:t>Uruguay</w:t>
      </w:r>
      <w:bookmarkEnd w:id="15"/>
    </w:p>
    <w:p w14:paraId="4A4CD25C" w14:textId="77777777" w:rsidR="00621E65" w:rsidRDefault="00621E65" w:rsidP="00D07B6F">
      <w:pPr>
        <w:spacing w:after="0" w:line="240" w:lineRule="auto"/>
      </w:pPr>
    </w:p>
    <w:p w14:paraId="7FC437C5" w14:textId="77768C20" w:rsidR="006029C5" w:rsidRPr="00102605" w:rsidRDefault="006029C5" w:rsidP="00D07B6F">
      <w:pPr>
        <w:spacing w:after="0" w:line="240" w:lineRule="auto"/>
      </w:pPr>
      <w:r w:rsidRPr="00102605">
        <w:t>Uruguay has an area of 167.215 km</w:t>
      </w:r>
      <w:r w:rsidRPr="00102605">
        <w:rPr>
          <w:vertAlign w:val="superscript"/>
        </w:rPr>
        <w:t>2</w:t>
      </w:r>
      <w:r w:rsidRPr="00102605">
        <w:t xml:space="preserve"> and about 3.5 million inhabitants. In </w:t>
      </w:r>
      <w:r w:rsidR="00746F8C" w:rsidRPr="00102605">
        <w:t>20</w:t>
      </w:r>
      <w:r w:rsidR="00746F8C">
        <w:t>21</w:t>
      </w:r>
      <w:r w:rsidRPr="00102605">
        <w:t xml:space="preserve">, the GDP per capita was </w:t>
      </w:r>
      <w:r w:rsidR="00590285" w:rsidRPr="00C74A1F">
        <w:rPr>
          <w:rFonts w:cs="Arial"/>
        </w:rPr>
        <w:t xml:space="preserve">17,020 </w:t>
      </w:r>
      <w:r w:rsidRPr="00102605">
        <w:t xml:space="preserve">USD. </w:t>
      </w:r>
    </w:p>
    <w:p w14:paraId="1354D964" w14:textId="77777777" w:rsidR="00D07B6F" w:rsidRDefault="00D07B6F" w:rsidP="00D07B6F">
      <w:pPr>
        <w:spacing w:after="0" w:line="240" w:lineRule="auto"/>
        <w:rPr>
          <w:b/>
          <w:bCs/>
        </w:rPr>
      </w:pPr>
    </w:p>
    <w:p w14:paraId="0236FF8B" w14:textId="5B98E34D" w:rsidR="007330EC" w:rsidRPr="00102605" w:rsidRDefault="007330EC" w:rsidP="00D07B6F">
      <w:pPr>
        <w:spacing w:after="0" w:line="240" w:lineRule="auto"/>
        <w:rPr>
          <w:b/>
          <w:bCs/>
        </w:rPr>
      </w:pPr>
      <w:r w:rsidRPr="00102605">
        <w:rPr>
          <w:b/>
          <w:bCs/>
        </w:rPr>
        <w:t xml:space="preserve">Overview of </w:t>
      </w:r>
      <w:r w:rsidR="00C24662" w:rsidRPr="00102605">
        <w:rPr>
          <w:b/>
          <w:bCs/>
        </w:rPr>
        <w:t xml:space="preserve">applicable </w:t>
      </w:r>
      <w:r w:rsidR="008A3DF4" w:rsidRPr="00102605">
        <w:rPr>
          <w:b/>
          <w:bCs/>
        </w:rPr>
        <w:t>regulatory framework</w:t>
      </w:r>
    </w:p>
    <w:p w14:paraId="38E40B65" w14:textId="77777777" w:rsidR="00D07B6F" w:rsidRDefault="00D07B6F" w:rsidP="00D07B6F">
      <w:pPr>
        <w:spacing w:after="0" w:line="240" w:lineRule="auto"/>
      </w:pPr>
    </w:p>
    <w:p w14:paraId="19236AC8" w14:textId="40DEA81C" w:rsidR="002F0814" w:rsidRDefault="002F0814" w:rsidP="00D07B6F">
      <w:pPr>
        <w:spacing w:after="0" w:line="240" w:lineRule="auto"/>
      </w:pPr>
      <w:r w:rsidRPr="00102605">
        <w:t xml:space="preserve">The national legal and administrative framework related to environmental, social and gender related matters is the guideline and determines the procedures for detecting environmental, social and gender risks of the </w:t>
      </w:r>
      <w:r w:rsidR="00467C4D" w:rsidRPr="00102605">
        <w:t>sub-</w:t>
      </w:r>
      <w:r w:rsidRPr="00102605">
        <w:t>project, as well as the proposed management and mitigation measures.</w:t>
      </w:r>
    </w:p>
    <w:p w14:paraId="27855370" w14:textId="77777777" w:rsidR="00D07B6F" w:rsidRPr="00EF47DA" w:rsidRDefault="00D07B6F" w:rsidP="00D07B6F">
      <w:pPr>
        <w:spacing w:after="0" w:line="240" w:lineRule="auto"/>
      </w:pPr>
    </w:p>
    <w:tbl>
      <w:tblPr>
        <w:tblStyle w:val="Tablaconcuadrcula1clara"/>
        <w:tblW w:w="9356" w:type="dxa"/>
        <w:tblInd w:w="108" w:type="dxa"/>
        <w:tblLook w:val="04A0" w:firstRow="1" w:lastRow="0" w:firstColumn="1" w:lastColumn="0" w:noHBand="0" w:noVBand="1"/>
      </w:tblPr>
      <w:tblGrid>
        <w:gridCol w:w="2694"/>
        <w:gridCol w:w="4423"/>
        <w:gridCol w:w="2239"/>
      </w:tblGrid>
      <w:tr w:rsidR="00A73681" w:rsidRPr="00102605" w14:paraId="5ECE3BFF" w14:textId="77777777" w:rsidTr="00D50D43">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3867D0D" w14:textId="77777777" w:rsidR="002611A7" w:rsidRPr="00EF47DA" w:rsidRDefault="002611A7" w:rsidP="00E539B8">
            <w:pPr>
              <w:jc w:val="left"/>
              <w:rPr>
                <w:rFonts w:eastAsia="Times New Roman" w:cs="Arial"/>
                <w:color w:val="000000"/>
                <w:sz w:val="20"/>
                <w:szCs w:val="20"/>
                <w:lang w:eastAsia="de-DE"/>
              </w:rPr>
            </w:pPr>
            <w:r w:rsidRPr="00EF47DA">
              <w:rPr>
                <w:rFonts w:eastAsia="Times New Roman" w:cs="Arial"/>
                <w:color w:val="000000"/>
                <w:sz w:val="20"/>
                <w:szCs w:val="20"/>
                <w:lang w:eastAsia="de-DE"/>
              </w:rPr>
              <w:t>Title</w:t>
            </w:r>
          </w:p>
        </w:tc>
        <w:tc>
          <w:tcPr>
            <w:tcW w:w="4423" w:type="dxa"/>
            <w:noWrap/>
            <w:hideMark/>
          </w:tcPr>
          <w:p w14:paraId="19783544" w14:textId="77777777" w:rsidR="002611A7" w:rsidRPr="00EF47DA" w:rsidRDefault="002611A7" w:rsidP="00E539B8">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Description</w:t>
            </w:r>
          </w:p>
        </w:tc>
        <w:tc>
          <w:tcPr>
            <w:tcW w:w="2239" w:type="dxa"/>
            <w:noWrap/>
            <w:hideMark/>
          </w:tcPr>
          <w:p w14:paraId="33A02781" w14:textId="77777777" w:rsidR="002611A7" w:rsidRPr="00EF47DA" w:rsidRDefault="002611A7" w:rsidP="00E539B8">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Responsible institution</w:t>
            </w:r>
          </w:p>
        </w:tc>
      </w:tr>
      <w:tr w:rsidR="00A73681" w:rsidRPr="00102605" w14:paraId="572C6771"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7DD869B" w14:textId="0441F3DE" w:rsidR="002611A7" w:rsidRPr="00EF47DA" w:rsidRDefault="002611A7" w:rsidP="00E539B8">
            <w:pPr>
              <w:jc w:val="left"/>
              <w:rPr>
                <w:rFonts w:eastAsia="Times New Roman" w:cs="Arial"/>
                <w:color w:val="000000"/>
                <w:sz w:val="20"/>
                <w:szCs w:val="20"/>
                <w:lang w:eastAsia="de-DE"/>
              </w:rPr>
            </w:pPr>
            <w:r w:rsidRPr="00EF47DA">
              <w:rPr>
                <w:rFonts w:eastAsia="Times New Roman" w:cs="Arial"/>
                <w:color w:val="000000"/>
                <w:sz w:val="20"/>
                <w:szCs w:val="20"/>
                <w:lang w:eastAsia="de-DE"/>
              </w:rPr>
              <w:t xml:space="preserve">National Constitution. 2004, </w:t>
            </w:r>
            <w:r w:rsidR="00F45C88" w:rsidRPr="00C74A1F">
              <w:rPr>
                <w:rFonts w:eastAsia="Times New Roman" w:cs="Arial"/>
                <w:color w:val="000000"/>
                <w:sz w:val="20"/>
                <w:szCs w:val="20"/>
                <w:lang w:eastAsia="de-DE"/>
              </w:rPr>
              <w:t xml:space="preserve">Arts. 27 and </w:t>
            </w:r>
            <w:r w:rsidRPr="00EF47DA">
              <w:rPr>
                <w:rFonts w:eastAsia="Times New Roman" w:cs="Arial"/>
                <w:color w:val="000000"/>
                <w:sz w:val="20"/>
                <w:szCs w:val="20"/>
                <w:lang w:eastAsia="de-DE"/>
              </w:rPr>
              <w:t>Art. 47</w:t>
            </w:r>
          </w:p>
        </w:tc>
        <w:tc>
          <w:tcPr>
            <w:tcW w:w="4423" w:type="dxa"/>
            <w:noWrap/>
            <w:hideMark/>
          </w:tcPr>
          <w:p w14:paraId="540FAB03" w14:textId="4D6E520E" w:rsidR="00353339" w:rsidRDefault="00353339"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Establishes the national and water policies.</w:t>
            </w:r>
          </w:p>
          <w:p w14:paraId="28819BC9" w14:textId="45832AD9"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Protecting the environment is of national interest. Citizens should refrain from any act that causes degradation, </w:t>
            </w:r>
            <w:r w:rsidR="003F3E30" w:rsidRPr="00102605">
              <w:rPr>
                <w:rFonts w:eastAsia="Times New Roman" w:cs="Arial"/>
                <w:color w:val="000000"/>
                <w:sz w:val="20"/>
                <w:szCs w:val="20"/>
                <w:lang w:eastAsia="de-DE"/>
              </w:rPr>
              <w:t>destruction,</w:t>
            </w:r>
            <w:r w:rsidRPr="00EF47DA">
              <w:rPr>
                <w:rFonts w:eastAsia="Times New Roman" w:cs="Arial"/>
                <w:color w:val="000000"/>
                <w:sz w:val="20"/>
                <w:szCs w:val="20"/>
                <w:lang w:eastAsia="de-DE"/>
              </w:rPr>
              <w:t xml:space="preserve"> or serious environmental pollution.</w:t>
            </w:r>
          </w:p>
        </w:tc>
        <w:tc>
          <w:tcPr>
            <w:tcW w:w="2239" w:type="dxa"/>
            <w:noWrap/>
            <w:hideMark/>
          </w:tcPr>
          <w:p w14:paraId="0F423FB2" w14:textId="77777777"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Congress</w:t>
            </w:r>
          </w:p>
        </w:tc>
      </w:tr>
      <w:tr w:rsidR="002611A7" w:rsidRPr="00102605" w14:paraId="42E335B5"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5154E87" w14:textId="77777777" w:rsidR="002611A7" w:rsidRPr="00EF47DA" w:rsidRDefault="002611A7" w:rsidP="00E539B8">
            <w:pPr>
              <w:jc w:val="left"/>
              <w:rPr>
                <w:rFonts w:eastAsia="Times New Roman" w:cs="Arial"/>
                <w:color w:val="000000"/>
                <w:sz w:val="20"/>
                <w:szCs w:val="20"/>
                <w:lang w:eastAsia="de-DE"/>
              </w:rPr>
            </w:pPr>
            <w:r w:rsidRPr="00EF47DA">
              <w:rPr>
                <w:rFonts w:eastAsia="Times New Roman" w:cs="Arial"/>
                <w:color w:val="000000"/>
                <w:sz w:val="20"/>
                <w:szCs w:val="20"/>
                <w:lang w:eastAsia="de-DE"/>
              </w:rPr>
              <w:t>-Law 16.466. Environmental Impact Assessment.</w:t>
            </w:r>
          </w:p>
          <w:p w14:paraId="0D725CCD" w14:textId="30D99101" w:rsidR="002611A7" w:rsidRPr="00EF47DA" w:rsidRDefault="002611A7" w:rsidP="00E539B8">
            <w:pPr>
              <w:jc w:val="left"/>
              <w:rPr>
                <w:rFonts w:eastAsia="Times New Roman" w:cs="Arial"/>
                <w:color w:val="000000"/>
                <w:sz w:val="20"/>
                <w:szCs w:val="20"/>
                <w:lang w:val="es-AR" w:eastAsia="de-DE"/>
              </w:rPr>
            </w:pPr>
          </w:p>
        </w:tc>
        <w:tc>
          <w:tcPr>
            <w:tcW w:w="4423" w:type="dxa"/>
            <w:noWrap/>
          </w:tcPr>
          <w:p w14:paraId="775ECA15" w14:textId="77777777"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Regulation of Environmental Impact Assessment and Environmental Permits.</w:t>
            </w:r>
          </w:p>
          <w:p w14:paraId="0A7B8EE1" w14:textId="77777777"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Main Uruguayan legislation aims to protect the environment from development activities.</w:t>
            </w:r>
          </w:p>
        </w:tc>
        <w:tc>
          <w:tcPr>
            <w:tcW w:w="2239" w:type="dxa"/>
            <w:noWrap/>
          </w:tcPr>
          <w:p w14:paraId="4124FBF8" w14:textId="77777777"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Ministry of Housing Land Planning and Environment (MVTOMA) -DINAMA</w:t>
            </w:r>
          </w:p>
        </w:tc>
      </w:tr>
      <w:tr w:rsidR="002611A7" w:rsidRPr="00102605" w14:paraId="57EE2D7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19027B7" w14:textId="77777777" w:rsidR="002611A7" w:rsidRPr="00EF47DA" w:rsidRDefault="002611A7" w:rsidP="00E539B8">
            <w:pPr>
              <w:jc w:val="left"/>
              <w:rPr>
                <w:rFonts w:eastAsia="Times New Roman" w:cs="Arial"/>
                <w:color w:val="000000"/>
                <w:sz w:val="20"/>
                <w:szCs w:val="20"/>
                <w:lang w:eastAsia="de-DE"/>
              </w:rPr>
            </w:pPr>
            <w:r w:rsidRPr="00EF47DA">
              <w:rPr>
                <w:rFonts w:eastAsia="Times New Roman" w:cs="Arial"/>
                <w:color w:val="000000"/>
                <w:sz w:val="20"/>
                <w:szCs w:val="20"/>
                <w:lang w:eastAsia="de-DE"/>
              </w:rPr>
              <w:t xml:space="preserve">- Law No. 17283. General Law for the Protection of the Environment. 2000 </w:t>
            </w:r>
          </w:p>
        </w:tc>
        <w:tc>
          <w:tcPr>
            <w:tcW w:w="4423" w:type="dxa"/>
            <w:noWrap/>
          </w:tcPr>
          <w:p w14:paraId="32504B7B" w14:textId="20D45A93"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Indicates that all citizens haves the right of healthy environment. It is national interest the conservation of environment, air quality, water, </w:t>
            </w:r>
            <w:r w:rsidR="003F3E30" w:rsidRPr="00102605">
              <w:rPr>
                <w:rFonts w:eastAsia="Times New Roman" w:cs="Arial"/>
                <w:color w:val="000000"/>
                <w:sz w:val="20"/>
                <w:szCs w:val="20"/>
                <w:lang w:eastAsia="de-DE"/>
              </w:rPr>
              <w:t>soil,</w:t>
            </w:r>
            <w:r w:rsidRPr="00EF47DA">
              <w:rPr>
                <w:rFonts w:eastAsia="Times New Roman" w:cs="Arial"/>
                <w:color w:val="000000"/>
                <w:sz w:val="20"/>
                <w:szCs w:val="20"/>
                <w:lang w:eastAsia="de-DE"/>
              </w:rPr>
              <w:t xml:space="preserve"> and landscape, </w:t>
            </w:r>
            <w:proofErr w:type="gramStart"/>
            <w:r w:rsidRPr="00EF47DA">
              <w:rPr>
                <w:rFonts w:eastAsia="Times New Roman" w:cs="Arial"/>
                <w:color w:val="000000"/>
                <w:sz w:val="20"/>
                <w:szCs w:val="20"/>
                <w:lang w:eastAsia="de-DE"/>
              </w:rPr>
              <w:t>and also</w:t>
            </w:r>
            <w:proofErr w:type="gramEnd"/>
            <w:r w:rsidRPr="00EF47DA">
              <w:rPr>
                <w:rFonts w:eastAsia="Times New Roman" w:cs="Arial"/>
                <w:color w:val="000000"/>
                <w:sz w:val="20"/>
                <w:szCs w:val="20"/>
                <w:lang w:eastAsia="de-DE"/>
              </w:rPr>
              <w:t xml:space="preserve"> the prevention, elimination, </w:t>
            </w:r>
            <w:r w:rsidR="003F3E30" w:rsidRPr="00102605">
              <w:rPr>
                <w:rFonts w:eastAsia="Times New Roman" w:cs="Arial"/>
                <w:color w:val="000000"/>
                <w:sz w:val="20"/>
                <w:szCs w:val="20"/>
                <w:lang w:eastAsia="de-DE"/>
              </w:rPr>
              <w:t>mitigation,</w:t>
            </w:r>
            <w:r w:rsidRPr="00EF47DA">
              <w:rPr>
                <w:rFonts w:eastAsia="Times New Roman" w:cs="Arial"/>
                <w:color w:val="000000"/>
                <w:sz w:val="20"/>
                <w:szCs w:val="20"/>
                <w:lang w:eastAsia="de-DE"/>
              </w:rPr>
              <w:t xml:space="preserve"> and compensation for negative environmental impacts.</w:t>
            </w:r>
          </w:p>
        </w:tc>
        <w:tc>
          <w:tcPr>
            <w:tcW w:w="2239" w:type="dxa"/>
            <w:noWrap/>
          </w:tcPr>
          <w:p w14:paraId="4D6C89C5" w14:textId="77777777" w:rsidR="002611A7" w:rsidRPr="00EF47DA" w:rsidRDefault="002611A7" w:rsidP="00E539B8">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Ministry of Housing Land Planning and Environment -DINAMA</w:t>
            </w:r>
          </w:p>
        </w:tc>
      </w:tr>
      <w:tr w:rsidR="005157A3" w:rsidRPr="00102605" w14:paraId="2CF82182"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8116367" w14:textId="52F6F0FA" w:rsidR="009F1806" w:rsidRPr="00EF47DA" w:rsidRDefault="009F1806" w:rsidP="009F1806">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Decree No 349/005. </w:t>
            </w:r>
          </w:p>
        </w:tc>
        <w:tc>
          <w:tcPr>
            <w:tcW w:w="4423" w:type="dxa"/>
            <w:noWrap/>
          </w:tcPr>
          <w:p w14:paraId="4E1F4BF2" w14:textId="66879364" w:rsidR="009F1806" w:rsidRPr="00EF47DA" w:rsidRDefault="009F1806" w:rsidP="009F180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Regulates the previous environmental authorization procedure requested for activities, constructions or buildings or works. Defines environmental negative impact, prohibitions and responsibilities for damages and determines the procedures requested for project authorizations.</w:t>
            </w:r>
          </w:p>
        </w:tc>
        <w:tc>
          <w:tcPr>
            <w:tcW w:w="2239" w:type="dxa"/>
            <w:noWrap/>
          </w:tcPr>
          <w:p w14:paraId="21B1618D" w14:textId="7A2E44BB" w:rsidR="009F1806" w:rsidRPr="00EF47DA" w:rsidRDefault="009F1806" w:rsidP="009F180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Housing Land Planning and Environment -DINAMA</w:t>
            </w:r>
          </w:p>
        </w:tc>
      </w:tr>
      <w:tr w:rsidR="009F1806" w:rsidRPr="00102605" w14:paraId="5D6BAB41"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7534BCD" w14:textId="259CA9C2" w:rsidR="009F1806" w:rsidRPr="00EF47DA" w:rsidRDefault="009F1806" w:rsidP="009F1806">
            <w:pPr>
              <w:jc w:val="left"/>
              <w:rPr>
                <w:rFonts w:eastAsia="Times New Roman" w:cs="Arial"/>
                <w:b w:val="0"/>
                <w:bCs w:val="0"/>
                <w:color w:val="000000"/>
                <w:sz w:val="20"/>
                <w:szCs w:val="20"/>
                <w:lang w:eastAsia="de-DE"/>
              </w:rPr>
            </w:pPr>
            <w:r w:rsidRPr="00EF47DA">
              <w:rPr>
                <w:rFonts w:eastAsia="Times New Roman" w:cs="Arial"/>
                <w:color w:val="000000"/>
                <w:sz w:val="20"/>
                <w:szCs w:val="20"/>
                <w:lang w:eastAsia="de-DE"/>
              </w:rPr>
              <w:t>-</w:t>
            </w:r>
            <w:r w:rsidR="0087322D" w:rsidRPr="00EF47DA">
              <w:rPr>
                <w:rFonts w:eastAsia="Times New Roman" w:cs="Arial"/>
                <w:color w:val="000000"/>
                <w:sz w:val="20"/>
                <w:szCs w:val="20"/>
                <w:lang w:eastAsia="de-DE"/>
              </w:rPr>
              <w:t>L</w:t>
            </w:r>
            <w:r w:rsidR="0087322D">
              <w:rPr>
                <w:rFonts w:eastAsia="Times New Roman" w:cs="Arial"/>
                <w:color w:val="000000"/>
                <w:sz w:val="20"/>
                <w:szCs w:val="20"/>
                <w:lang w:eastAsia="de-DE"/>
              </w:rPr>
              <w:t>aw</w:t>
            </w:r>
            <w:r w:rsidR="0087322D" w:rsidRPr="00EF47DA">
              <w:rPr>
                <w:rFonts w:eastAsia="Times New Roman" w:cs="Arial"/>
                <w:color w:val="000000"/>
                <w:sz w:val="20"/>
                <w:szCs w:val="20"/>
                <w:lang w:eastAsia="de-DE"/>
              </w:rPr>
              <w:t xml:space="preserve"> </w:t>
            </w:r>
            <w:r w:rsidRPr="00EF47DA">
              <w:rPr>
                <w:rFonts w:eastAsia="Times New Roman" w:cs="Arial"/>
                <w:color w:val="000000"/>
                <w:sz w:val="20"/>
                <w:szCs w:val="20"/>
                <w:lang w:eastAsia="de-DE"/>
              </w:rPr>
              <w:t>No 17.234. Protected Areas -Decree No.52. regulations of the Law 16.466.</w:t>
            </w:r>
          </w:p>
        </w:tc>
        <w:tc>
          <w:tcPr>
            <w:tcW w:w="4423" w:type="dxa"/>
            <w:noWrap/>
          </w:tcPr>
          <w:p w14:paraId="47A064F5" w14:textId="77777777" w:rsidR="009F1806" w:rsidRPr="00EF47DA" w:rsidRDefault="009F1806" w:rsidP="009F180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Declaration of interest of the creation and</w:t>
            </w:r>
          </w:p>
          <w:p w14:paraId="018FF74E" w14:textId="6F4DF147" w:rsidR="009F1806" w:rsidRPr="00EF47DA" w:rsidRDefault="009F1806" w:rsidP="009F180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management of a National System of Protected Natural Areas as a tool for implementation of environmental policies and management plans for the national protection of biodiversity.</w:t>
            </w:r>
          </w:p>
        </w:tc>
        <w:tc>
          <w:tcPr>
            <w:tcW w:w="2239" w:type="dxa"/>
            <w:noWrap/>
          </w:tcPr>
          <w:p w14:paraId="0B0F1A2B" w14:textId="650A1DA3" w:rsidR="009F1806" w:rsidRPr="00EF47DA" w:rsidRDefault="009F1806" w:rsidP="009F180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Ministry of Housing Land Planning and Environment -DINAMA</w:t>
            </w:r>
          </w:p>
        </w:tc>
      </w:tr>
      <w:tr w:rsidR="005157A3" w:rsidRPr="00102605" w14:paraId="60A6880D"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FF246B3" w14:textId="4F783E8C" w:rsidR="001A1F29" w:rsidRPr="00EF47DA" w:rsidRDefault="001A1F29" w:rsidP="001A1F29">
            <w:pPr>
              <w:jc w:val="left"/>
              <w:rPr>
                <w:rFonts w:eastAsia="Times New Roman" w:cs="Arial"/>
                <w:color w:val="000000"/>
                <w:sz w:val="20"/>
                <w:szCs w:val="20"/>
                <w:lang w:eastAsia="de-DE"/>
              </w:rPr>
            </w:pPr>
            <w:r w:rsidRPr="00C74A1F">
              <w:rPr>
                <w:rFonts w:eastAsia="Times New Roman" w:cs="Arial"/>
                <w:color w:val="000000"/>
                <w:sz w:val="20"/>
                <w:szCs w:val="20"/>
                <w:lang w:eastAsia="de-DE"/>
              </w:rPr>
              <w:t>Resolution No 1.354/009 and Resolution No 209/009</w:t>
            </w:r>
          </w:p>
        </w:tc>
        <w:tc>
          <w:tcPr>
            <w:tcW w:w="4423" w:type="dxa"/>
            <w:noWrap/>
          </w:tcPr>
          <w:p w14:paraId="5C8EF879" w14:textId="53044DBC"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 the guidelines for environmental previous authorization request and the environmental project questionnaire.</w:t>
            </w:r>
          </w:p>
        </w:tc>
        <w:tc>
          <w:tcPr>
            <w:tcW w:w="2239" w:type="dxa"/>
            <w:noWrap/>
          </w:tcPr>
          <w:p w14:paraId="73DF23AE" w14:textId="67270D12"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Housing Land Planning and Environment -DINAMA</w:t>
            </w:r>
          </w:p>
        </w:tc>
      </w:tr>
      <w:tr w:rsidR="005157A3" w:rsidRPr="00102605" w14:paraId="5074EDE1"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15B2183" w14:textId="602D5B55" w:rsidR="001A1F29" w:rsidRPr="00EF47DA" w:rsidRDefault="001A1F29" w:rsidP="001A1F29">
            <w:pPr>
              <w:jc w:val="left"/>
              <w:rPr>
                <w:rFonts w:eastAsia="Times New Roman" w:cs="Arial"/>
                <w:color w:val="000000"/>
                <w:sz w:val="20"/>
                <w:szCs w:val="20"/>
                <w:lang w:eastAsia="de-DE"/>
              </w:rPr>
            </w:pPr>
            <w:r w:rsidRPr="00C74A1F">
              <w:rPr>
                <w:rFonts w:eastAsia="Times New Roman" w:cs="Arial"/>
                <w:color w:val="000000"/>
                <w:sz w:val="20"/>
                <w:szCs w:val="20"/>
                <w:lang w:eastAsia="de-DE"/>
              </w:rPr>
              <w:t>Norm No 101/020</w:t>
            </w:r>
          </w:p>
        </w:tc>
        <w:tc>
          <w:tcPr>
            <w:tcW w:w="4423" w:type="dxa"/>
            <w:noWrap/>
          </w:tcPr>
          <w:p w14:paraId="10216686" w14:textId="4715A604"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Defines a list of activities which require environmental previous authorization.</w:t>
            </w:r>
          </w:p>
        </w:tc>
        <w:tc>
          <w:tcPr>
            <w:tcW w:w="2239" w:type="dxa"/>
            <w:noWrap/>
          </w:tcPr>
          <w:p w14:paraId="6C66E48A" w14:textId="248ED500"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Housing Land Planning and Environment -DINAMA</w:t>
            </w:r>
          </w:p>
        </w:tc>
      </w:tr>
      <w:tr w:rsidR="001A1F29" w:rsidRPr="00102605" w14:paraId="037668DD"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1744F90" w14:textId="73CBE91C" w:rsidR="001A1F29" w:rsidRPr="00EF47DA" w:rsidRDefault="001A1F29" w:rsidP="001A1F29">
            <w:pPr>
              <w:jc w:val="left"/>
              <w:rPr>
                <w:rFonts w:eastAsia="Times New Roman" w:cs="Arial"/>
                <w:bCs w:val="0"/>
                <w:color w:val="000000"/>
                <w:sz w:val="20"/>
                <w:szCs w:val="20"/>
                <w:lang w:eastAsia="de-DE"/>
              </w:rPr>
            </w:pPr>
            <w:r w:rsidRPr="00EF47DA">
              <w:rPr>
                <w:rFonts w:eastAsia="Times New Roman" w:cs="Arial"/>
                <w:color w:val="000000"/>
                <w:sz w:val="20"/>
                <w:szCs w:val="20"/>
                <w:lang w:eastAsia="de-DE"/>
              </w:rPr>
              <w:t>- Law No15.939. Law Forest protection</w:t>
            </w:r>
          </w:p>
        </w:tc>
        <w:tc>
          <w:tcPr>
            <w:tcW w:w="4423" w:type="dxa"/>
            <w:noWrap/>
          </w:tcPr>
          <w:p w14:paraId="561D0FC4" w14:textId="0F757B85"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Defines the importance of the conservation of native forest and the promotion of forest plantations and reforestation. All national forests </w:t>
            </w:r>
            <w:r w:rsidRPr="00102605">
              <w:rPr>
                <w:rFonts w:eastAsia="Times New Roman" w:cs="Arial"/>
                <w:color w:val="000000"/>
                <w:sz w:val="20"/>
                <w:szCs w:val="20"/>
                <w:lang w:eastAsia="de-DE"/>
              </w:rPr>
              <w:t>belong</w:t>
            </w:r>
            <w:r w:rsidRPr="00EF47DA">
              <w:rPr>
                <w:rFonts w:eastAsia="Times New Roman" w:cs="Arial"/>
                <w:color w:val="000000"/>
                <w:sz w:val="20"/>
                <w:szCs w:val="20"/>
                <w:lang w:eastAsia="de-DE"/>
              </w:rPr>
              <w:t xml:space="preserve"> to the state except the trees found in public areas such as in the right of way in which </w:t>
            </w:r>
            <w:r w:rsidRPr="00102605">
              <w:rPr>
                <w:rFonts w:eastAsia="Times New Roman" w:cs="Arial"/>
                <w:color w:val="000000"/>
                <w:sz w:val="20"/>
                <w:szCs w:val="20"/>
                <w:lang w:eastAsia="de-DE"/>
              </w:rPr>
              <w:t>case,</w:t>
            </w:r>
            <w:r w:rsidRPr="00EF47DA">
              <w:rPr>
                <w:rFonts w:eastAsia="Times New Roman" w:cs="Arial"/>
                <w:color w:val="000000"/>
                <w:sz w:val="20"/>
                <w:szCs w:val="20"/>
                <w:lang w:eastAsia="de-DE"/>
              </w:rPr>
              <w:t xml:space="preserve"> MTOP and the municipalities are responsible of their management.</w:t>
            </w:r>
          </w:p>
        </w:tc>
        <w:tc>
          <w:tcPr>
            <w:tcW w:w="2239" w:type="dxa"/>
            <w:noWrap/>
          </w:tcPr>
          <w:p w14:paraId="0E901C22" w14:textId="77777777"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Ministry of Cattle, Agriculture and Fishing (MGAP)</w:t>
            </w:r>
          </w:p>
          <w:p w14:paraId="33F2C4D8" w14:textId="49940F21" w:rsidR="001A1F29" w:rsidRPr="00EF47DA" w:rsidRDefault="001A1F29" w:rsidP="001A1F29">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Native Forest Department</w:t>
            </w:r>
          </w:p>
        </w:tc>
      </w:tr>
      <w:tr w:rsidR="005157A3" w:rsidRPr="00102605" w14:paraId="0859C665"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30F7662" w14:textId="20A2BB2C"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Law No 18.308. Territorial order</w:t>
            </w:r>
          </w:p>
        </w:tc>
        <w:tc>
          <w:tcPr>
            <w:tcW w:w="4423" w:type="dxa"/>
            <w:noWrap/>
          </w:tcPr>
          <w:p w14:paraId="633D7BAB" w14:textId="1DF3513E"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Defines the territorial order and sustainable development, sets the fundamentals in the national context.</w:t>
            </w:r>
          </w:p>
        </w:tc>
        <w:tc>
          <w:tcPr>
            <w:tcW w:w="2239" w:type="dxa"/>
            <w:noWrap/>
          </w:tcPr>
          <w:p w14:paraId="48BE48CE" w14:textId="1A806B3A"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Ministry of </w:t>
            </w:r>
            <w:r>
              <w:rPr>
                <w:rFonts w:eastAsia="Times New Roman" w:cs="Arial"/>
                <w:color w:val="000000"/>
                <w:sz w:val="20"/>
                <w:szCs w:val="20"/>
                <w:lang w:eastAsia="de-DE"/>
              </w:rPr>
              <w:t>H</w:t>
            </w:r>
            <w:r w:rsidRPr="00C74A1F">
              <w:rPr>
                <w:rFonts w:eastAsia="Times New Roman" w:cs="Arial"/>
                <w:color w:val="000000"/>
                <w:sz w:val="20"/>
                <w:szCs w:val="20"/>
                <w:lang w:eastAsia="de-DE"/>
              </w:rPr>
              <w:t xml:space="preserve">ousing and </w:t>
            </w:r>
            <w:r>
              <w:rPr>
                <w:rFonts w:eastAsia="Times New Roman" w:cs="Arial"/>
                <w:color w:val="000000"/>
                <w:sz w:val="20"/>
                <w:szCs w:val="20"/>
                <w:lang w:eastAsia="de-DE"/>
              </w:rPr>
              <w:t>Land Planning</w:t>
            </w:r>
          </w:p>
        </w:tc>
      </w:tr>
      <w:tr w:rsidR="005157A3" w:rsidRPr="00102605" w14:paraId="56E7878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A759BFC" w14:textId="4B9E5049"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Law </w:t>
            </w:r>
            <w:r>
              <w:rPr>
                <w:rFonts w:eastAsia="Times New Roman" w:cs="Arial"/>
                <w:color w:val="000000"/>
                <w:sz w:val="20"/>
                <w:szCs w:val="20"/>
                <w:lang w:eastAsia="de-DE"/>
              </w:rPr>
              <w:t xml:space="preserve">No </w:t>
            </w:r>
            <w:r w:rsidRPr="00C74A1F">
              <w:rPr>
                <w:rFonts w:eastAsia="Times New Roman" w:cs="Arial"/>
                <w:color w:val="000000"/>
                <w:sz w:val="20"/>
                <w:szCs w:val="20"/>
                <w:lang w:eastAsia="de-DE"/>
              </w:rPr>
              <w:t>19.525. Territorial order</w:t>
            </w:r>
          </w:p>
        </w:tc>
        <w:tc>
          <w:tcPr>
            <w:tcW w:w="4423" w:type="dxa"/>
            <w:noWrap/>
          </w:tcPr>
          <w:p w14:paraId="6CEDE9E9" w14:textId="137ACD8D"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Approves the national guidelines for territorial order and sustainable development for urban, suburban, </w:t>
            </w:r>
            <w:proofErr w:type="gramStart"/>
            <w:r w:rsidRPr="00C74A1F">
              <w:rPr>
                <w:rFonts w:eastAsia="Times New Roman" w:cs="Arial"/>
                <w:color w:val="000000"/>
                <w:sz w:val="20"/>
                <w:szCs w:val="20"/>
                <w:lang w:eastAsia="de-DE"/>
              </w:rPr>
              <w:t>rural</w:t>
            </w:r>
            <w:proofErr w:type="gramEnd"/>
            <w:r w:rsidRPr="00C74A1F">
              <w:rPr>
                <w:rFonts w:eastAsia="Times New Roman" w:cs="Arial"/>
                <w:color w:val="000000"/>
                <w:sz w:val="20"/>
                <w:szCs w:val="20"/>
                <w:lang w:eastAsia="de-DE"/>
              </w:rPr>
              <w:t xml:space="preserve"> and environmental protected sites.</w:t>
            </w:r>
          </w:p>
        </w:tc>
        <w:tc>
          <w:tcPr>
            <w:tcW w:w="2239" w:type="dxa"/>
            <w:noWrap/>
          </w:tcPr>
          <w:p w14:paraId="7E3387E7" w14:textId="692C4335"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Ministry of </w:t>
            </w:r>
            <w:r>
              <w:rPr>
                <w:rFonts w:eastAsia="Times New Roman" w:cs="Arial"/>
                <w:color w:val="000000"/>
                <w:sz w:val="20"/>
                <w:szCs w:val="20"/>
                <w:lang w:eastAsia="de-DE"/>
              </w:rPr>
              <w:t>H</w:t>
            </w:r>
            <w:r w:rsidRPr="00C74A1F">
              <w:rPr>
                <w:rFonts w:eastAsia="Times New Roman" w:cs="Arial"/>
                <w:color w:val="000000"/>
                <w:sz w:val="20"/>
                <w:szCs w:val="20"/>
                <w:lang w:eastAsia="de-DE"/>
              </w:rPr>
              <w:t xml:space="preserve">ousing and </w:t>
            </w:r>
            <w:r>
              <w:rPr>
                <w:rFonts w:eastAsia="Times New Roman" w:cs="Arial"/>
                <w:color w:val="000000"/>
                <w:sz w:val="20"/>
                <w:szCs w:val="20"/>
                <w:lang w:eastAsia="de-DE"/>
              </w:rPr>
              <w:t>Land Planning</w:t>
            </w:r>
          </w:p>
        </w:tc>
      </w:tr>
      <w:tr w:rsidR="005157A3" w:rsidRPr="00102605" w14:paraId="12003000"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ECEF062" w14:textId="621B2FCE"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Law No 19.829 Integral waste management</w:t>
            </w:r>
          </w:p>
        </w:tc>
        <w:tc>
          <w:tcPr>
            <w:tcW w:w="4423" w:type="dxa"/>
            <w:noWrap/>
          </w:tcPr>
          <w:p w14:paraId="63E8EE57" w14:textId="4805CCB9"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Sustainable development model promotion and environmental protection by prevention and reduction of negative impacts in the generation, </w:t>
            </w:r>
            <w:proofErr w:type="gramStart"/>
            <w:r w:rsidRPr="00C74A1F">
              <w:rPr>
                <w:rFonts w:eastAsia="Times New Roman" w:cs="Arial"/>
                <w:color w:val="000000"/>
                <w:sz w:val="20"/>
                <w:szCs w:val="20"/>
                <w:lang w:eastAsia="de-DE"/>
              </w:rPr>
              <w:t>handling</w:t>
            </w:r>
            <w:proofErr w:type="gramEnd"/>
            <w:r w:rsidRPr="00C74A1F">
              <w:rPr>
                <w:rFonts w:eastAsia="Times New Roman" w:cs="Arial"/>
                <w:color w:val="000000"/>
                <w:sz w:val="20"/>
                <w:szCs w:val="20"/>
                <w:lang w:eastAsia="de-DE"/>
              </w:rPr>
              <w:t xml:space="preserve"> and management of wastes.</w:t>
            </w:r>
          </w:p>
        </w:tc>
        <w:tc>
          <w:tcPr>
            <w:tcW w:w="2239" w:type="dxa"/>
            <w:noWrap/>
          </w:tcPr>
          <w:p w14:paraId="7A0C5A7E" w14:textId="218BBBB6"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44FB9555"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F8E243C" w14:textId="08ACFB2E"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  </w:t>
            </w:r>
            <w:r w:rsidRPr="00FC64F2">
              <w:rPr>
                <w:rFonts w:eastAsia="Times New Roman" w:cs="Arial"/>
                <w:color w:val="000000"/>
                <w:sz w:val="20"/>
                <w:szCs w:val="20"/>
                <w:lang w:eastAsia="de-DE"/>
              </w:rPr>
              <w:t>Law No 16.221. Transboundary movements of hazardous wastes</w:t>
            </w:r>
          </w:p>
        </w:tc>
        <w:tc>
          <w:tcPr>
            <w:tcW w:w="4423" w:type="dxa"/>
            <w:noWrap/>
          </w:tcPr>
          <w:p w14:paraId="2B10E68B" w14:textId="6F2CC0D1"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International Agreement of Transboundary hazardous wastes movements control and their elimination.</w:t>
            </w:r>
          </w:p>
        </w:tc>
        <w:tc>
          <w:tcPr>
            <w:tcW w:w="2239" w:type="dxa"/>
            <w:noWrap/>
          </w:tcPr>
          <w:p w14:paraId="426926AE" w14:textId="22EDF91B"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482B3F1D"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E1A70A9" w14:textId="1E7A38EF"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  Law No 16.867. Hazardous wastes. </w:t>
            </w:r>
          </w:p>
        </w:tc>
        <w:tc>
          <w:tcPr>
            <w:tcW w:w="4423" w:type="dxa"/>
            <w:noWrap/>
          </w:tcPr>
          <w:p w14:paraId="1760E015" w14:textId="51E6DE2C"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amendment of the International Agreement of Transboundary hazardous wastes movements control and their elimination.</w:t>
            </w:r>
          </w:p>
        </w:tc>
        <w:tc>
          <w:tcPr>
            <w:tcW w:w="2239" w:type="dxa"/>
            <w:noWrap/>
          </w:tcPr>
          <w:p w14:paraId="7A81538D" w14:textId="20E6246A"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08D29E6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096392E" w14:textId="380FB599" w:rsidR="00A04186" w:rsidRPr="00EF47DA" w:rsidRDefault="00A04186" w:rsidP="00A04186">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 </w:t>
            </w:r>
            <w:r w:rsidRPr="00FC64F2">
              <w:rPr>
                <w:rFonts w:eastAsia="Times New Roman" w:cs="Arial"/>
                <w:color w:val="000000"/>
                <w:sz w:val="20"/>
                <w:szCs w:val="20"/>
                <w:lang w:eastAsia="de-DE"/>
              </w:rPr>
              <w:t>Law No 17220. Hazardous wastes</w:t>
            </w:r>
          </w:p>
        </w:tc>
        <w:tc>
          <w:tcPr>
            <w:tcW w:w="4423" w:type="dxa"/>
            <w:noWrap/>
          </w:tcPr>
          <w:p w14:paraId="0E1C59C7" w14:textId="4DB6862C"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Prohibits non authorized income of hazardous wastes to the country.</w:t>
            </w:r>
          </w:p>
        </w:tc>
        <w:tc>
          <w:tcPr>
            <w:tcW w:w="2239" w:type="dxa"/>
            <w:noWrap/>
          </w:tcPr>
          <w:p w14:paraId="70ACE661" w14:textId="6E462CC9"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5179434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E27FC16" w14:textId="1530FCF4" w:rsidR="00A04186" w:rsidRPr="00EF47DA" w:rsidRDefault="00A04186" w:rsidP="00A04186">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 xml:space="preserve">Decree No 358/015. Used tires </w:t>
            </w:r>
            <w:r>
              <w:rPr>
                <w:rFonts w:eastAsia="Times New Roman" w:cs="Arial"/>
                <w:color w:val="000000"/>
                <w:sz w:val="20"/>
                <w:szCs w:val="20"/>
                <w:lang w:eastAsia="de-DE"/>
              </w:rPr>
              <w:t xml:space="preserve"> </w:t>
            </w:r>
          </w:p>
        </w:tc>
        <w:tc>
          <w:tcPr>
            <w:tcW w:w="4423" w:type="dxa"/>
            <w:noWrap/>
          </w:tcPr>
          <w:p w14:paraId="4EFEA4CB" w14:textId="1364DFB4"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Defines management practices requested to be implemented for waste tires and establishes as generators to those companies that provide transport services.</w:t>
            </w:r>
          </w:p>
        </w:tc>
        <w:tc>
          <w:tcPr>
            <w:tcW w:w="2239" w:type="dxa"/>
            <w:noWrap/>
          </w:tcPr>
          <w:p w14:paraId="1A04E08E" w14:textId="1FE6C5AC"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52512D4F"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ABDDB2C" w14:textId="733A23AF" w:rsidR="00A04186" w:rsidRPr="00EF47DA" w:rsidRDefault="00A04186" w:rsidP="00A04186">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Decree No 373/003. Lead batteries</w:t>
            </w:r>
          </w:p>
        </w:tc>
        <w:tc>
          <w:tcPr>
            <w:tcW w:w="4423" w:type="dxa"/>
            <w:noWrap/>
          </w:tcPr>
          <w:p w14:paraId="708DF642" w14:textId="1877E65D"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Regulates the management and disposal of lead- acid used and disposable batteries.</w:t>
            </w:r>
          </w:p>
        </w:tc>
        <w:tc>
          <w:tcPr>
            <w:tcW w:w="2239" w:type="dxa"/>
            <w:noWrap/>
          </w:tcPr>
          <w:p w14:paraId="112D2290" w14:textId="4ACD45F1" w:rsidR="00A04186" w:rsidRPr="00EF47DA" w:rsidRDefault="00A04186" w:rsidP="00A04186">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0E0A719F"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82E8E71" w14:textId="6034499A" w:rsidR="000464DF" w:rsidRPr="00EF47DA" w:rsidRDefault="000464DF" w:rsidP="000464DF">
            <w:pPr>
              <w:jc w:val="left"/>
              <w:rPr>
                <w:rFonts w:eastAsia="Times New Roman" w:cs="Arial"/>
                <w:color w:val="000000"/>
                <w:sz w:val="20"/>
                <w:szCs w:val="20"/>
                <w:lang w:eastAsia="de-DE"/>
              </w:rPr>
            </w:pPr>
            <w:r>
              <w:rPr>
                <w:rFonts w:eastAsia="Times New Roman" w:cs="Arial"/>
                <w:bCs w:val="0"/>
                <w:color w:val="000000"/>
                <w:sz w:val="20"/>
                <w:szCs w:val="20"/>
                <w:lang w:eastAsia="de-DE"/>
              </w:rPr>
              <w:t xml:space="preserve">- </w:t>
            </w:r>
            <w:r w:rsidRPr="00FC64F2">
              <w:rPr>
                <w:rFonts w:eastAsia="Times New Roman" w:cs="Arial"/>
                <w:bCs w:val="0"/>
                <w:color w:val="000000"/>
                <w:sz w:val="20"/>
                <w:szCs w:val="20"/>
                <w:lang w:eastAsia="de-DE"/>
              </w:rPr>
              <w:t>Decree No 15/019. Mercury wastes.</w:t>
            </w:r>
          </w:p>
        </w:tc>
        <w:tc>
          <w:tcPr>
            <w:tcW w:w="4423" w:type="dxa"/>
            <w:noWrap/>
          </w:tcPr>
          <w:p w14:paraId="0D1B6077" w14:textId="50F882AB"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Regulates waste management activities to be developed for lamps wastes and other wastes containing mercury. </w:t>
            </w:r>
          </w:p>
        </w:tc>
        <w:tc>
          <w:tcPr>
            <w:tcW w:w="2239" w:type="dxa"/>
            <w:noWrap/>
          </w:tcPr>
          <w:p w14:paraId="6E507FC8" w14:textId="68B9BF46"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63093657"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C58F029" w14:textId="38EBC283" w:rsidR="000464DF" w:rsidRPr="00EF47DA" w:rsidRDefault="000464DF" w:rsidP="000464DF">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Decree 541/007. Waste management for Ports, Airports, International Passenger Cargo Terminals</w:t>
            </w:r>
          </w:p>
        </w:tc>
        <w:tc>
          <w:tcPr>
            <w:tcW w:w="4423" w:type="dxa"/>
            <w:noWrap/>
          </w:tcPr>
          <w:p w14:paraId="0B02303C" w14:textId="4791EC83"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Approves the sanitary management of solid wastes management from Ports, Airports, International Passenger Cargo </w:t>
            </w:r>
            <w:proofErr w:type="gramStart"/>
            <w:r w:rsidRPr="00C74A1F">
              <w:rPr>
                <w:rFonts w:eastAsia="Times New Roman" w:cs="Arial"/>
                <w:color w:val="000000"/>
                <w:sz w:val="20"/>
                <w:szCs w:val="20"/>
                <w:lang w:eastAsia="de-DE"/>
              </w:rPr>
              <w:t>Terminals</w:t>
            </w:r>
            <w:proofErr w:type="gramEnd"/>
            <w:r w:rsidRPr="00C74A1F">
              <w:rPr>
                <w:rFonts w:eastAsia="Times New Roman" w:cs="Arial"/>
                <w:color w:val="000000"/>
                <w:sz w:val="20"/>
                <w:szCs w:val="20"/>
                <w:lang w:eastAsia="de-DE"/>
              </w:rPr>
              <w:t xml:space="preserve"> and frontier points of Mercosur.</w:t>
            </w:r>
          </w:p>
        </w:tc>
        <w:tc>
          <w:tcPr>
            <w:tcW w:w="2239" w:type="dxa"/>
            <w:noWrap/>
          </w:tcPr>
          <w:p w14:paraId="6E013161" w14:textId="442B3E06"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3B39A9D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D99ABE6" w14:textId="49F73D40" w:rsidR="000464DF" w:rsidRPr="00EF47DA" w:rsidRDefault="000464DF" w:rsidP="000464DF">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Law No 17.283, Art 17</w:t>
            </w:r>
          </w:p>
        </w:tc>
        <w:tc>
          <w:tcPr>
            <w:tcW w:w="4423" w:type="dxa"/>
            <w:noWrap/>
          </w:tcPr>
          <w:p w14:paraId="4B6460A9" w14:textId="2CF5AE9F"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Defines the prohibition of releasing or emitting into the atmosphere, directly or indirectly, substances, </w:t>
            </w:r>
            <w:proofErr w:type="gramStart"/>
            <w:r w:rsidRPr="00C74A1F">
              <w:rPr>
                <w:rFonts w:eastAsia="Times New Roman" w:cs="Arial"/>
                <w:color w:val="000000"/>
                <w:sz w:val="20"/>
                <w:szCs w:val="20"/>
                <w:lang w:eastAsia="de-DE"/>
              </w:rPr>
              <w:t>materials</w:t>
            </w:r>
            <w:proofErr w:type="gramEnd"/>
            <w:r w:rsidRPr="00C74A1F">
              <w:rPr>
                <w:rFonts w:eastAsia="Times New Roman" w:cs="Arial"/>
                <w:color w:val="000000"/>
                <w:sz w:val="20"/>
                <w:szCs w:val="20"/>
                <w:lang w:eastAsia="de-DE"/>
              </w:rPr>
              <w:t xml:space="preserve"> or energy above the maximum limits or in a contravention of the conditions defined by the authorities.</w:t>
            </w:r>
          </w:p>
        </w:tc>
        <w:tc>
          <w:tcPr>
            <w:tcW w:w="2239" w:type="dxa"/>
            <w:noWrap/>
          </w:tcPr>
          <w:p w14:paraId="64DCFF85" w14:textId="6838D297"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127F54C0"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D6A518C" w14:textId="66F3D9F9" w:rsidR="000464DF" w:rsidRPr="00EF47DA" w:rsidRDefault="000464DF" w:rsidP="000464DF">
            <w:pPr>
              <w:jc w:val="left"/>
              <w:rPr>
                <w:rFonts w:eastAsia="Times New Roman" w:cs="Arial"/>
                <w:color w:val="000000"/>
                <w:sz w:val="20"/>
                <w:szCs w:val="20"/>
                <w:lang w:eastAsia="de-DE"/>
              </w:rPr>
            </w:pPr>
            <w:r w:rsidRPr="00C74A1F">
              <w:rPr>
                <w:rFonts w:eastAsia="Times New Roman" w:cs="Arial"/>
                <w:color w:val="000000"/>
                <w:sz w:val="20"/>
                <w:szCs w:val="20"/>
                <w:lang w:eastAsia="de-DE"/>
              </w:rPr>
              <w:t>- Decree No 135/021. Air quality regulation</w:t>
            </w:r>
          </w:p>
        </w:tc>
        <w:tc>
          <w:tcPr>
            <w:tcW w:w="4423" w:type="dxa"/>
            <w:noWrap/>
          </w:tcPr>
          <w:p w14:paraId="42C720BB" w14:textId="33FE0D9C"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Defines objectives for air quality to reduce human health and ecosystems risks, and maximum emission limits for both mobile and fix sources.</w:t>
            </w:r>
          </w:p>
        </w:tc>
        <w:tc>
          <w:tcPr>
            <w:tcW w:w="2239" w:type="dxa"/>
            <w:noWrap/>
          </w:tcPr>
          <w:p w14:paraId="6C3F7A9A" w14:textId="345CDF95"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7EAAC10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44AEEF7" w14:textId="69FA1CA9" w:rsidR="000464DF" w:rsidRPr="00EF47DA" w:rsidRDefault="000464DF" w:rsidP="000464DF">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FC64F2">
              <w:rPr>
                <w:rFonts w:eastAsia="Times New Roman" w:cs="Arial"/>
                <w:bCs w:val="0"/>
                <w:color w:val="000000"/>
                <w:sz w:val="20"/>
                <w:szCs w:val="20"/>
                <w:lang w:eastAsia="de-DE"/>
              </w:rPr>
              <w:t>Law No 10.007</w:t>
            </w:r>
          </w:p>
        </w:tc>
        <w:tc>
          <w:tcPr>
            <w:tcW w:w="4423" w:type="dxa"/>
            <w:noWrap/>
          </w:tcPr>
          <w:p w14:paraId="59BE6F4B" w14:textId="3B2A6ED0"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Prohibits the use of automobile vehicles that consume heavy carburants without the tools that inhibit fume or toxic excess emissions when going through urban centres.</w:t>
            </w:r>
          </w:p>
        </w:tc>
        <w:tc>
          <w:tcPr>
            <w:tcW w:w="2239" w:type="dxa"/>
            <w:noWrap/>
          </w:tcPr>
          <w:p w14:paraId="79C069DB" w14:textId="65E9FF39"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3B349E95"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9C21CF3" w14:textId="5CF1097E"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Decree No 118/984. National Regulation of Road Circulation</w:t>
            </w:r>
          </w:p>
        </w:tc>
        <w:tc>
          <w:tcPr>
            <w:tcW w:w="4423" w:type="dxa"/>
            <w:noWrap/>
          </w:tcPr>
          <w:p w14:paraId="46DD645A" w14:textId="2606142C"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National Regulation of Road Circulation and establishes that automobile vehicles should not exceed maxim enforced emission limits defined by the authority.</w:t>
            </w:r>
          </w:p>
        </w:tc>
        <w:tc>
          <w:tcPr>
            <w:tcW w:w="2239" w:type="dxa"/>
            <w:noWrap/>
          </w:tcPr>
          <w:p w14:paraId="365FB4E0" w14:textId="524096F4"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43F3FAE9" w14:textId="77777777" w:rsidTr="00D50D43">
        <w:trPr>
          <w:trHeight w:val="135"/>
        </w:trPr>
        <w:tc>
          <w:tcPr>
            <w:cnfStyle w:val="001000000000" w:firstRow="0" w:lastRow="0" w:firstColumn="1" w:lastColumn="0" w:oddVBand="0" w:evenVBand="0" w:oddHBand="0" w:evenHBand="0" w:firstRowFirstColumn="0" w:firstRowLastColumn="0" w:lastRowFirstColumn="0" w:lastRowLastColumn="0"/>
            <w:tcW w:w="2694" w:type="dxa"/>
            <w:noWrap/>
          </w:tcPr>
          <w:p w14:paraId="0304AC5B" w14:textId="12EBE69C"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Law No 15.986</w:t>
            </w:r>
          </w:p>
        </w:tc>
        <w:tc>
          <w:tcPr>
            <w:tcW w:w="4423" w:type="dxa"/>
            <w:noWrap/>
          </w:tcPr>
          <w:p w14:paraId="6554D441" w14:textId="7EFAAB96"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Vienna Convention.</w:t>
            </w:r>
          </w:p>
        </w:tc>
        <w:tc>
          <w:tcPr>
            <w:tcW w:w="2239" w:type="dxa"/>
            <w:noWrap/>
          </w:tcPr>
          <w:p w14:paraId="025FC079" w14:textId="71958D2E"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17B79FBF" w14:textId="77777777" w:rsidTr="00D50D43">
        <w:trPr>
          <w:trHeight w:val="225"/>
        </w:trPr>
        <w:tc>
          <w:tcPr>
            <w:cnfStyle w:val="001000000000" w:firstRow="0" w:lastRow="0" w:firstColumn="1" w:lastColumn="0" w:oddVBand="0" w:evenVBand="0" w:oddHBand="0" w:evenHBand="0" w:firstRowFirstColumn="0" w:firstRowLastColumn="0" w:lastRowFirstColumn="0" w:lastRowLastColumn="0"/>
            <w:tcW w:w="2694" w:type="dxa"/>
            <w:noWrap/>
          </w:tcPr>
          <w:p w14:paraId="57890D3D" w14:textId="115608F0"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Law No 16.157</w:t>
            </w:r>
          </w:p>
        </w:tc>
        <w:tc>
          <w:tcPr>
            <w:tcW w:w="4423" w:type="dxa"/>
            <w:noWrap/>
          </w:tcPr>
          <w:p w14:paraId="3FCDBC78" w14:textId="2CA18FF8"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Montreal Protocol.</w:t>
            </w:r>
          </w:p>
        </w:tc>
        <w:tc>
          <w:tcPr>
            <w:tcW w:w="2239" w:type="dxa"/>
            <w:noWrap/>
          </w:tcPr>
          <w:p w14:paraId="52C4233B" w14:textId="4D1CDA16"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3784B286"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1ECAD68" w14:textId="66E75249"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Law No 16.517</w:t>
            </w:r>
          </w:p>
        </w:tc>
        <w:tc>
          <w:tcPr>
            <w:tcW w:w="4423" w:type="dxa"/>
            <w:noWrap/>
          </w:tcPr>
          <w:p w14:paraId="3FC51FA3" w14:textId="534CA19F"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Approves the United Nations Convention for Climate Change.</w:t>
            </w:r>
          </w:p>
        </w:tc>
        <w:tc>
          <w:tcPr>
            <w:tcW w:w="2239" w:type="dxa"/>
            <w:noWrap/>
          </w:tcPr>
          <w:p w14:paraId="085B742E" w14:textId="3DE12834"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225CBB49"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8C17FCA" w14:textId="01D02BC2"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Decree Law No 14.859. Water Code / Decree No 123/99</w:t>
            </w:r>
          </w:p>
        </w:tc>
        <w:tc>
          <w:tcPr>
            <w:tcW w:w="4423" w:type="dxa"/>
            <w:noWrap/>
          </w:tcPr>
          <w:p w14:paraId="325062AB" w14:textId="2A2B754A"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Approves the Water Code and defines authorities´ competencies, water domain, usage rights and permits. </w:t>
            </w:r>
          </w:p>
        </w:tc>
        <w:tc>
          <w:tcPr>
            <w:tcW w:w="2239" w:type="dxa"/>
            <w:noWrap/>
          </w:tcPr>
          <w:p w14:paraId="50E5FE61" w14:textId="603F5A1F"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44E4ACA3"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D2DD2C4" w14:textId="7971379E"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Law No 14.440 / Decree 216/76</w:t>
            </w:r>
          </w:p>
        </w:tc>
        <w:tc>
          <w:tcPr>
            <w:tcW w:w="4423" w:type="dxa"/>
            <w:noWrap/>
          </w:tcPr>
          <w:p w14:paraId="71FB8EA7" w14:textId="076F98DF"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Standards on </w:t>
            </w:r>
            <w:proofErr w:type="gramStart"/>
            <w:r w:rsidRPr="00C74A1F">
              <w:rPr>
                <w:rFonts w:eastAsia="Times New Roman" w:cs="Arial"/>
                <w:color w:val="000000"/>
                <w:sz w:val="20"/>
                <w:szCs w:val="20"/>
                <w:lang w:eastAsia="de-DE"/>
              </w:rPr>
              <w:t>waste water</w:t>
            </w:r>
            <w:proofErr w:type="gramEnd"/>
            <w:r w:rsidRPr="00C74A1F">
              <w:rPr>
                <w:rFonts w:eastAsia="Times New Roman" w:cs="Arial"/>
                <w:color w:val="000000"/>
                <w:sz w:val="20"/>
                <w:szCs w:val="20"/>
                <w:lang w:eastAsia="de-DE"/>
              </w:rPr>
              <w:t xml:space="preserve"> discharges in places where separate sewage system exists.</w:t>
            </w:r>
          </w:p>
        </w:tc>
        <w:tc>
          <w:tcPr>
            <w:tcW w:w="2239" w:type="dxa"/>
            <w:noWrap/>
          </w:tcPr>
          <w:p w14:paraId="5A9C9A9F" w14:textId="5F4848D9"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0CC3F3A2"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3BFD21E" w14:textId="731FA29E" w:rsidR="000464DF" w:rsidRPr="00EF47DA" w:rsidRDefault="000464DF" w:rsidP="000464DF">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sidRPr="00A203AD">
              <w:rPr>
                <w:rFonts w:eastAsia="Times New Roman" w:cs="Arial"/>
                <w:color w:val="000000"/>
                <w:sz w:val="20"/>
                <w:szCs w:val="20"/>
                <w:lang w:eastAsia="de-DE"/>
              </w:rPr>
              <w:t>Decree No 253/79</w:t>
            </w:r>
          </w:p>
        </w:tc>
        <w:tc>
          <w:tcPr>
            <w:tcW w:w="4423" w:type="dxa"/>
            <w:noWrap/>
          </w:tcPr>
          <w:p w14:paraId="40EC87C3" w14:textId="1FAE75EC"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Regulates the contamination control of water resources containing water bodies classification, quality parameters, wastewater discharges parameters, sanctions.</w:t>
            </w:r>
          </w:p>
        </w:tc>
        <w:tc>
          <w:tcPr>
            <w:tcW w:w="2239" w:type="dxa"/>
            <w:noWrap/>
          </w:tcPr>
          <w:p w14:paraId="4D212CE4" w14:textId="02EE8F38"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5A2B453F"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466484B" w14:textId="14F8F877"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Law No 18.610. National Water Policy</w:t>
            </w:r>
          </w:p>
        </w:tc>
        <w:tc>
          <w:tcPr>
            <w:tcW w:w="4423" w:type="dxa"/>
            <w:noWrap/>
          </w:tcPr>
          <w:p w14:paraId="72F05928" w14:textId="2E60ABA6"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color w:val="000000"/>
                <w:sz w:val="20"/>
                <w:szCs w:val="20"/>
                <w:lang w:eastAsia="de-DE"/>
              </w:rPr>
              <w:t>Defines the fundamental principles applicable for the National Water Policy including the water resources management as well as water uses and services.</w:t>
            </w:r>
          </w:p>
        </w:tc>
        <w:tc>
          <w:tcPr>
            <w:tcW w:w="2239" w:type="dxa"/>
            <w:noWrap/>
          </w:tcPr>
          <w:p w14:paraId="099953AA" w14:textId="4DA5D58C"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446FF5E2"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90C6D55" w14:textId="6DFE3852"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Decree No 78/010. National Water Policy </w:t>
            </w:r>
          </w:p>
        </w:tc>
        <w:tc>
          <w:tcPr>
            <w:tcW w:w="4423" w:type="dxa"/>
            <w:noWrap/>
          </w:tcPr>
          <w:p w14:paraId="7CCB41D9" w14:textId="4CC3812C"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color w:val="000000"/>
                <w:sz w:val="20"/>
                <w:szCs w:val="20"/>
                <w:lang w:eastAsia="de-DE"/>
              </w:rPr>
              <w:t>Regulates Law 18.610 and defines sanitation measures.</w:t>
            </w:r>
          </w:p>
        </w:tc>
        <w:tc>
          <w:tcPr>
            <w:tcW w:w="2239" w:type="dxa"/>
            <w:noWrap/>
          </w:tcPr>
          <w:p w14:paraId="1CAA1839" w14:textId="033F57AB"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36A5D69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638BB44" w14:textId="3012F711"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Decree No 205/017</w:t>
            </w:r>
          </w:p>
        </w:tc>
        <w:tc>
          <w:tcPr>
            <w:tcW w:w="4423" w:type="dxa"/>
            <w:noWrap/>
          </w:tcPr>
          <w:p w14:paraId="1974E337" w14:textId="629D06A4"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sz w:val="20"/>
                <w:szCs w:val="20"/>
                <w:lang w:eastAsia="de-DE"/>
              </w:rPr>
              <w:t>Approval of the National Water Plan.</w:t>
            </w:r>
          </w:p>
        </w:tc>
        <w:tc>
          <w:tcPr>
            <w:tcW w:w="2239" w:type="dxa"/>
            <w:noWrap/>
          </w:tcPr>
          <w:p w14:paraId="343D81B5" w14:textId="3D14ACA7"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Ministry of Environment</w:t>
            </w:r>
          </w:p>
        </w:tc>
      </w:tr>
      <w:tr w:rsidR="005157A3" w:rsidRPr="00102605" w14:paraId="150A19C5"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60FA8CA" w14:textId="5D304BCC"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Law No18.597</w:t>
            </w:r>
          </w:p>
        </w:tc>
        <w:tc>
          <w:tcPr>
            <w:tcW w:w="4423" w:type="dxa"/>
            <w:noWrap/>
          </w:tcPr>
          <w:p w14:paraId="31CB3FCD" w14:textId="20D8B5BE"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Declares of national interest the energy efficiency to contribute to the national economy competitiveness, sustainable development and G</w:t>
            </w:r>
            <w:r>
              <w:rPr>
                <w:rFonts w:eastAsia="Times New Roman" w:cs="Arial"/>
                <w:sz w:val="20"/>
                <w:szCs w:val="20"/>
                <w:lang w:eastAsia="de-DE"/>
              </w:rPr>
              <w:t>H</w:t>
            </w:r>
            <w:r w:rsidRPr="00280B9E">
              <w:rPr>
                <w:rFonts w:eastAsia="Times New Roman" w:cs="Arial"/>
                <w:sz w:val="20"/>
                <w:szCs w:val="20"/>
                <w:lang w:eastAsia="de-DE"/>
              </w:rPr>
              <w:t xml:space="preserve">G emission reduction. Requires to the </w:t>
            </w:r>
            <w:r>
              <w:rPr>
                <w:rFonts w:eastAsia="Times New Roman" w:cs="Arial"/>
                <w:sz w:val="20"/>
                <w:szCs w:val="20"/>
                <w:lang w:eastAsia="de-DE"/>
              </w:rPr>
              <w:t>Ministry of Industry, Energy and Mining</w:t>
            </w:r>
            <w:r w:rsidRPr="00280B9E">
              <w:rPr>
                <w:rFonts w:eastAsia="Times New Roman" w:cs="Arial"/>
                <w:sz w:val="20"/>
                <w:szCs w:val="20"/>
                <w:lang w:eastAsia="de-DE"/>
              </w:rPr>
              <w:t xml:space="preserve"> to develop the Energy Efficiency National Plan.</w:t>
            </w:r>
          </w:p>
        </w:tc>
        <w:tc>
          <w:tcPr>
            <w:tcW w:w="2239" w:type="dxa"/>
            <w:noWrap/>
          </w:tcPr>
          <w:p w14:paraId="5D5B5CF5" w14:textId="34C0EB54"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Industry, Energy and Mining</w:t>
            </w:r>
          </w:p>
        </w:tc>
      </w:tr>
      <w:tr w:rsidR="005157A3" w:rsidRPr="00102605" w14:paraId="17BB5F7A"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F8B4A39" w14:textId="6810BCEC"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Law No 17.852</w:t>
            </w:r>
          </w:p>
        </w:tc>
        <w:tc>
          <w:tcPr>
            <w:tcW w:w="4423" w:type="dxa"/>
            <w:noWrap/>
          </w:tcPr>
          <w:p w14:paraId="5DAB3443" w14:textId="652C878B"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Sets standers to prevent, monitor and correct acoustic contamination situations to protect human beings, other living species and the environment.</w:t>
            </w:r>
          </w:p>
        </w:tc>
        <w:tc>
          <w:tcPr>
            <w:tcW w:w="2239" w:type="dxa"/>
            <w:noWrap/>
          </w:tcPr>
          <w:p w14:paraId="0C00DA17" w14:textId="7858C938"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Industry, Energy and Mining</w:t>
            </w:r>
          </w:p>
        </w:tc>
      </w:tr>
      <w:tr w:rsidR="005157A3" w:rsidRPr="00102605" w14:paraId="61D3863A"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A4A8ADD" w14:textId="012C4E80" w:rsidR="000464DF" w:rsidRPr="00EF47DA" w:rsidRDefault="000464DF" w:rsidP="000464DF">
            <w:pPr>
              <w:jc w:val="left"/>
              <w:rPr>
                <w:rFonts w:eastAsia="Times New Roman" w:cs="Arial"/>
                <w:color w:val="000000"/>
                <w:sz w:val="20"/>
                <w:szCs w:val="20"/>
                <w:lang w:eastAsia="de-DE"/>
              </w:rPr>
            </w:pPr>
            <w:r w:rsidRPr="00A203AD">
              <w:rPr>
                <w:rFonts w:eastAsia="Times New Roman" w:cs="Arial"/>
                <w:color w:val="000000"/>
                <w:sz w:val="20"/>
                <w:szCs w:val="20"/>
                <w:lang w:eastAsia="de-DE"/>
              </w:rPr>
              <w:t>- Decree No 125/022 - Decree No 429/009</w:t>
            </w:r>
          </w:p>
        </w:tc>
        <w:tc>
          <w:tcPr>
            <w:tcW w:w="4423" w:type="dxa"/>
            <w:noWrap/>
          </w:tcPr>
          <w:p w14:paraId="68BDF4F5" w14:textId="1BCC405F"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Regulates that equipment, artefacts and vehicles that consume energy will be assessed according to their energy efficiency.</w:t>
            </w:r>
          </w:p>
        </w:tc>
        <w:tc>
          <w:tcPr>
            <w:tcW w:w="2239" w:type="dxa"/>
            <w:noWrap/>
          </w:tcPr>
          <w:p w14:paraId="5A6B4F71" w14:textId="05CE3503" w:rsidR="000464DF" w:rsidRPr="00EF47DA" w:rsidRDefault="000464DF" w:rsidP="000464DF">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Industry, Energy and Mining</w:t>
            </w:r>
          </w:p>
        </w:tc>
      </w:tr>
      <w:tr w:rsidR="005157A3" w:rsidRPr="00102605" w14:paraId="760948C2"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AD159A8" w14:textId="2D65A72D" w:rsidR="004C0A04" w:rsidRPr="00EF47DA" w:rsidRDefault="004C0A04" w:rsidP="004C0A04">
            <w:pPr>
              <w:jc w:val="left"/>
              <w:rPr>
                <w:rFonts w:eastAsia="Times New Roman" w:cs="Arial"/>
                <w:color w:val="000000"/>
                <w:sz w:val="20"/>
                <w:szCs w:val="20"/>
                <w:lang w:eastAsia="de-DE"/>
              </w:rPr>
            </w:pPr>
            <w:r w:rsidRPr="00A203AD">
              <w:rPr>
                <w:rFonts w:eastAsia="Times New Roman" w:cs="Arial"/>
                <w:color w:val="000000"/>
                <w:sz w:val="20"/>
                <w:szCs w:val="20"/>
                <w:lang w:eastAsia="de-DE"/>
              </w:rPr>
              <w:t>- Decree No 34/015</w:t>
            </w:r>
          </w:p>
        </w:tc>
        <w:tc>
          <w:tcPr>
            <w:tcW w:w="4423" w:type="dxa"/>
            <w:noWrap/>
          </w:tcPr>
          <w:p w14:paraId="1C693BCE" w14:textId="2FCB3F97"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Gives two-year period grant to the tax for those vehicles exclusively electric motored.</w:t>
            </w:r>
          </w:p>
        </w:tc>
        <w:tc>
          <w:tcPr>
            <w:tcW w:w="2239" w:type="dxa"/>
            <w:noWrap/>
          </w:tcPr>
          <w:p w14:paraId="0C28030A" w14:textId="23536052"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Industry, Energy and Mining</w:t>
            </w:r>
          </w:p>
        </w:tc>
      </w:tr>
      <w:tr w:rsidR="005157A3" w:rsidRPr="00102605" w14:paraId="34EBEF11"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D39282C" w14:textId="50A2E2CF" w:rsidR="004C0A04" w:rsidRPr="00EF47DA" w:rsidRDefault="004C0A04" w:rsidP="004C0A04">
            <w:pPr>
              <w:jc w:val="left"/>
              <w:rPr>
                <w:rFonts w:eastAsia="Times New Roman" w:cs="Arial"/>
                <w:color w:val="000000"/>
                <w:sz w:val="20"/>
                <w:szCs w:val="20"/>
                <w:lang w:eastAsia="de-DE"/>
              </w:rPr>
            </w:pPr>
            <w:r w:rsidRPr="00A203AD">
              <w:rPr>
                <w:rFonts w:eastAsia="Times New Roman" w:cs="Arial"/>
                <w:color w:val="000000"/>
                <w:sz w:val="20"/>
                <w:szCs w:val="20"/>
                <w:lang w:eastAsia="de-DE"/>
              </w:rPr>
              <w:t>- Decree No 390/021 – Decree 370/021 - Decree No 411/010 – Decree No 96/990</w:t>
            </w:r>
          </w:p>
        </w:tc>
        <w:tc>
          <w:tcPr>
            <w:tcW w:w="4423" w:type="dxa"/>
            <w:noWrap/>
          </w:tcPr>
          <w:p w14:paraId="74C6F6D3" w14:textId="13E401CF"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Regulates the specific intern tax. Defines the classifications for automotive vehicles</w:t>
            </w:r>
          </w:p>
        </w:tc>
        <w:tc>
          <w:tcPr>
            <w:tcW w:w="2239" w:type="dxa"/>
            <w:noWrap/>
          </w:tcPr>
          <w:p w14:paraId="0FF7EA80" w14:textId="2D26172D"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Economy and Finance</w:t>
            </w:r>
          </w:p>
        </w:tc>
      </w:tr>
      <w:tr w:rsidR="005157A3" w:rsidRPr="00102605" w14:paraId="46087836"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709660E" w14:textId="2953DCEF" w:rsidR="004C0A04" w:rsidRPr="004C0A04" w:rsidRDefault="004C0A04" w:rsidP="004C0A04">
            <w:pPr>
              <w:jc w:val="left"/>
              <w:rPr>
                <w:rFonts w:eastAsia="Times New Roman" w:cs="Arial"/>
                <w:color w:val="000000"/>
                <w:sz w:val="20"/>
                <w:szCs w:val="20"/>
                <w:lang w:val="es-AR" w:eastAsia="de-DE"/>
              </w:rPr>
            </w:pPr>
            <w:r w:rsidRPr="005D5CF5">
              <w:rPr>
                <w:rFonts w:eastAsia="Times New Roman" w:cs="Arial"/>
                <w:color w:val="000000"/>
                <w:sz w:val="20"/>
                <w:szCs w:val="20"/>
                <w:lang w:val="es-AR" w:eastAsia="de-DE"/>
              </w:rPr>
              <w:t>- Res No 209/012.- Res No 208/012 - Res No 150/008</w:t>
            </w:r>
          </w:p>
        </w:tc>
        <w:tc>
          <w:tcPr>
            <w:tcW w:w="4423" w:type="dxa"/>
            <w:noWrap/>
          </w:tcPr>
          <w:p w14:paraId="3E9D111C" w14:textId="114F9086"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280B9E">
              <w:rPr>
                <w:rFonts w:eastAsia="Times New Roman" w:cs="Arial"/>
                <w:sz w:val="20"/>
                <w:szCs w:val="20"/>
                <w:lang w:eastAsia="de-DE"/>
              </w:rPr>
              <w:t>Defines the quality standards for intermedium marine fuel oil, marine gas oil fuels, marine diesel oil and other liquid fuels.</w:t>
            </w:r>
          </w:p>
        </w:tc>
        <w:tc>
          <w:tcPr>
            <w:tcW w:w="2239" w:type="dxa"/>
            <w:noWrap/>
          </w:tcPr>
          <w:p w14:paraId="2AA639E9" w14:textId="34681409"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94007D">
              <w:rPr>
                <w:rFonts w:eastAsia="Times New Roman" w:cs="Arial"/>
                <w:color w:val="000000"/>
                <w:sz w:val="20"/>
                <w:szCs w:val="20"/>
                <w:lang w:eastAsia="de-DE"/>
              </w:rPr>
              <w:t>Regulatory Unit for Energy and Water services</w:t>
            </w:r>
          </w:p>
        </w:tc>
      </w:tr>
      <w:tr w:rsidR="005157A3" w:rsidRPr="00102605" w14:paraId="52F213A9"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DF87DEB" w14:textId="17D56F52" w:rsidR="004C0A04" w:rsidRPr="00EF47DA" w:rsidRDefault="004C0A04" w:rsidP="004C0A04">
            <w:pPr>
              <w:jc w:val="left"/>
              <w:rPr>
                <w:rFonts w:eastAsia="Times New Roman" w:cs="Arial"/>
                <w:color w:val="000000"/>
                <w:sz w:val="20"/>
                <w:szCs w:val="20"/>
                <w:lang w:eastAsia="de-DE"/>
              </w:rPr>
            </w:pPr>
            <w:r w:rsidRPr="00A203AD">
              <w:rPr>
                <w:rFonts w:eastAsia="Times New Roman" w:cs="Arial"/>
                <w:color w:val="000000"/>
                <w:sz w:val="20"/>
                <w:szCs w:val="20"/>
                <w:lang w:eastAsia="de-DE"/>
              </w:rPr>
              <w:t>- Res No 28/004</w:t>
            </w:r>
          </w:p>
        </w:tc>
        <w:tc>
          <w:tcPr>
            <w:tcW w:w="4423" w:type="dxa"/>
            <w:noWrap/>
          </w:tcPr>
          <w:p w14:paraId="51037317" w14:textId="721C4C4A"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sz w:val="20"/>
                <w:szCs w:val="20"/>
                <w:lang w:eastAsia="de-DE"/>
              </w:rPr>
              <w:t>Prohibition of use of LPG balloons in vehicles.</w:t>
            </w:r>
          </w:p>
        </w:tc>
        <w:tc>
          <w:tcPr>
            <w:tcW w:w="2239" w:type="dxa"/>
            <w:noWrap/>
          </w:tcPr>
          <w:p w14:paraId="0C632794" w14:textId="42A7B93B"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94007D">
              <w:rPr>
                <w:rFonts w:eastAsia="Times New Roman" w:cs="Arial"/>
                <w:color w:val="000000"/>
                <w:sz w:val="20"/>
                <w:szCs w:val="20"/>
                <w:lang w:eastAsia="de-DE"/>
              </w:rPr>
              <w:t>Regulatory Unit for Energy and Water services</w:t>
            </w:r>
          </w:p>
        </w:tc>
      </w:tr>
      <w:tr w:rsidR="005157A3" w:rsidRPr="00102605" w14:paraId="6DA22FE0"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1D088D9" w14:textId="3779DA23" w:rsidR="004C0A04" w:rsidRPr="00EF47DA" w:rsidRDefault="004C0A04" w:rsidP="004C0A04">
            <w:pPr>
              <w:jc w:val="left"/>
              <w:rPr>
                <w:rFonts w:eastAsia="Times New Roman" w:cs="Arial"/>
                <w:color w:val="000000"/>
                <w:sz w:val="20"/>
                <w:szCs w:val="20"/>
                <w:lang w:eastAsia="de-DE"/>
              </w:rPr>
            </w:pPr>
            <w:r w:rsidRPr="00A203AD">
              <w:rPr>
                <w:rFonts w:eastAsia="Times New Roman" w:cs="Arial"/>
                <w:color w:val="000000"/>
                <w:sz w:val="20"/>
                <w:szCs w:val="20"/>
                <w:lang w:eastAsia="de-DE"/>
              </w:rPr>
              <w:t>- Res No 26/003</w:t>
            </w:r>
          </w:p>
        </w:tc>
        <w:tc>
          <w:tcPr>
            <w:tcW w:w="4423" w:type="dxa"/>
            <w:noWrap/>
          </w:tcPr>
          <w:p w14:paraId="781EB223" w14:textId="58B2320D"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sz w:val="20"/>
                <w:szCs w:val="20"/>
                <w:lang w:eastAsia="de-DE"/>
              </w:rPr>
              <w:t>Regulates the supply and the use of compressed natural gas on vehicles.</w:t>
            </w:r>
          </w:p>
        </w:tc>
        <w:tc>
          <w:tcPr>
            <w:tcW w:w="2239" w:type="dxa"/>
            <w:noWrap/>
          </w:tcPr>
          <w:p w14:paraId="4CA4E997" w14:textId="4737058C"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94007D">
              <w:rPr>
                <w:rFonts w:eastAsia="Times New Roman" w:cs="Arial"/>
                <w:color w:val="000000"/>
                <w:sz w:val="20"/>
                <w:szCs w:val="20"/>
                <w:lang w:eastAsia="de-DE"/>
              </w:rPr>
              <w:t>Regulatory Unit for Energy and Water services</w:t>
            </w:r>
          </w:p>
        </w:tc>
      </w:tr>
      <w:tr w:rsidR="004C0A04" w:rsidRPr="00102605" w14:paraId="5B811836"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10A559A" w14:textId="5BC9AABC" w:rsidR="004C0A04" w:rsidRPr="00EF47DA" w:rsidRDefault="004C0A04" w:rsidP="004C0A04">
            <w:pPr>
              <w:jc w:val="left"/>
              <w:rPr>
                <w:rFonts w:eastAsia="Times New Roman" w:cs="Arial"/>
                <w:color w:val="000000"/>
                <w:sz w:val="20"/>
                <w:szCs w:val="20"/>
                <w:lang w:eastAsia="de-DE"/>
              </w:rPr>
            </w:pPr>
            <w:r w:rsidRPr="00EF47DA">
              <w:rPr>
                <w:rFonts w:eastAsia="Times New Roman" w:cs="Arial"/>
                <w:color w:val="000000"/>
                <w:sz w:val="20"/>
                <w:szCs w:val="20"/>
                <w:lang w:eastAsia="de-DE"/>
              </w:rPr>
              <w:t>-Law No.15.965. Health and Safety</w:t>
            </w:r>
          </w:p>
        </w:tc>
        <w:tc>
          <w:tcPr>
            <w:tcW w:w="4423" w:type="dxa"/>
            <w:noWrap/>
          </w:tcPr>
          <w:p w14:paraId="7482BF59" w14:textId="6B8B8C22"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Adoption of international conventions on safety, </w:t>
            </w:r>
            <w:r w:rsidRPr="00102605">
              <w:rPr>
                <w:rFonts w:eastAsia="Times New Roman" w:cs="Arial"/>
                <w:color w:val="000000"/>
                <w:sz w:val="20"/>
                <w:szCs w:val="20"/>
                <w:lang w:eastAsia="de-DE"/>
              </w:rPr>
              <w:t>hygiene,</w:t>
            </w:r>
            <w:r w:rsidRPr="00EF47DA">
              <w:rPr>
                <w:rFonts w:eastAsia="Times New Roman" w:cs="Arial"/>
                <w:color w:val="000000"/>
                <w:sz w:val="20"/>
                <w:szCs w:val="20"/>
                <w:lang w:eastAsia="de-DE"/>
              </w:rPr>
              <w:t xml:space="preserve"> and health at work (OIT 148, 155 and 161)</w:t>
            </w:r>
          </w:p>
        </w:tc>
        <w:tc>
          <w:tcPr>
            <w:tcW w:w="2239" w:type="dxa"/>
            <w:noWrap/>
          </w:tcPr>
          <w:p w14:paraId="56F3A155" w14:textId="3F190E1A" w:rsidR="004C0A04" w:rsidRPr="00EF47DA" w:rsidRDefault="004C0A04" w:rsidP="004C0A04">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Ministry of Work and Social Security</w:t>
            </w:r>
          </w:p>
        </w:tc>
      </w:tr>
      <w:tr w:rsidR="005157A3" w:rsidRPr="00102605" w14:paraId="7A837BBC"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D8B1032" w14:textId="7AA4445B" w:rsidR="006473E7" w:rsidRPr="00EF47DA" w:rsidRDefault="006473E7" w:rsidP="006473E7">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 xml:space="preserve">Decree No 125/014 – Decree No 125/017 </w:t>
            </w:r>
          </w:p>
        </w:tc>
        <w:tc>
          <w:tcPr>
            <w:tcW w:w="4423" w:type="dxa"/>
            <w:noWrap/>
          </w:tcPr>
          <w:p w14:paraId="1AF92CF3" w14:textId="0ADF56E4" w:rsidR="006473E7" w:rsidRPr="00EF47DA" w:rsidRDefault="006473E7" w:rsidP="006473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Health and safety in the construction industry</w:t>
            </w:r>
          </w:p>
        </w:tc>
        <w:tc>
          <w:tcPr>
            <w:tcW w:w="2239" w:type="dxa"/>
            <w:noWrap/>
          </w:tcPr>
          <w:p w14:paraId="643E377F" w14:textId="351517CF" w:rsidR="006473E7" w:rsidRPr="00EF47DA" w:rsidRDefault="006473E7" w:rsidP="006473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Ministry of </w:t>
            </w:r>
            <w:r>
              <w:rPr>
                <w:rFonts w:eastAsia="Times New Roman" w:cs="Arial"/>
                <w:color w:val="000000"/>
                <w:sz w:val="20"/>
                <w:szCs w:val="20"/>
                <w:lang w:eastAsia="de-DE"/>
              </w:rPr>
              <w:t>Labour</w:t>
            </w:r>
            <w:r w:rsidRPr="00C74A1F">
              <w:rPr>
                <w:rFonts w:eastAsia="Times New Roman" w:cs="Arial"/>
                <w:color w:val="000000"/>
                <w:sz w:val="20"/>
                <w:szCs w:val="20"/>
                <w:lang w:eastAsia="de-DE"/>
              </w:rPr>
              <w:t xml:space="preserve"> and Social Security</w:t>
            </w:r>
          </w:p>
        </w:tc>
      </w:tr>
      <w:tr w:rsidR="005157A3" w:rsidRPr="00102605" w14:paraId="0C281918"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E874A8A" w14:textId="015A5231" w:rsidR="005232AA" w:rsidRPr="00EF47DA" w:rsidRDefault="005232AA" w:rsidP="005232AA">
            <w:pPr>
              <w:jc w:val="left"/>
              <w:rPr>
                <w:rFonts w:eastAsia="Times New Roman" w:cs="Arial"/>
                <w:color w:val="000000"/>
                <w:sz w:val="20"/>
                <w:szCs w:val="20"/>
                <w:lang w:eastAsia="de-DE"/>
              </w:rPr>
            </w:pPr>
            <w:r w:rsidRPr="00C74A1F">
              <w:rPr>
                <w:rFonts w:eastAsia="Times New Roman" w:cs="Arial"/>
                <w:color w:val="000000"/>
                <w:sz w:val="20"/>
                <w:szCs w:val="20"/>
                <w:lang w:eastAsia="de-DE"/>
              </w:rPr>
              <w:t>Decree 291/007</w:t>
            </w:r>
          </w:p>
        </w:tc>
        <w:tc>
          <w:tcPr>
            <w:tcW w:w="4423" w:type="dxa"/>
            <w:noWrap/>
          </w:tcPr>
          <w:p w14:paraId="7743597C" w14:textId="010FE025" w:rsidR="005232AA" w:rsidRPr="00EF47DA" w:rsidRDefault="005232AA" w:rsidP="005232AA">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Regulates the prevention and protection against risks related to any activity.</w:t>
            </w:r>
          </w:p>
        </w:tc>
        <w:tc>
          <w:tcPr>
            <w:tcW w:w="2239" w:type="dxa"/>
            <w:noWrap/>
          </w:tcPr>
          <w:p w14:paraId="6DCCE394" w14:textId="5916A3B6" w:rsidR="005232AA" w:rsidRPr="00EF47DA" w:rsidRDefault="005232AA" w:rsidP="005232AA">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Ministry of </w:t>
            </w:r>
            <w:r>
              <w:rPr>
                <w:rFonts w:eastAsia="Times New Roman" w:cs="Arial"/>
                <w:color w:val="000000"/>
                <w:sz w:val="20"/>
                <w:szCs w:val="20"/>
                <w:lang w:eastAsia="de-DE"/>
              </w:rPr>
              <w:t>Labour</w:t>
            </w:r>
            <w:r w:rsidRPr="00C74A1F">
              <w:rPr>
                <w:rFonts w:eastAsia="Times New Roman" w:cs="Arial"/>
                <w:color w:val="000000"/>
                <w:sz w:val="20"/>
                <w:szCs w:val="20"/>
                <w:lang w:eastAsia="de-DE"/>
              </w:rPr>
              <w:t xml:space="preserve"> and Social Security</w:t>
            </w:r>
          </w:p>
        </w:tc>
      </w:tr>
      <w:tr w:rsidR="005157A3" w:rsidRPr="00102605" w14:paraId="18FF5B3D"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C988E85" w14:textId="035DF970" w:rsidR="000B2D0C" w:rsidRPr="00EF47DA" w:rsidRDefault="000B2D0C" w:rsidP="000B2D0C">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Law No 5.032 – Decree 406/988. Labour accidents prevention</w:t>
            </w:r>
          </w:p>
        </w:tc>
        <w:tc>
          <w:tcPr>
            <w:tcW w:w="4423" w:type="dxa"/>
            <w:noWrap/>
          </w:tcPr>
          <w:p w14:paraId="63A077EE" w14:textId="4736E2B4"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Establishes for employers, construction directors, or any other work with risks for workers, the requirement to implement safety measures for personnel to avoid work accidents.</w:t>
            </w:r>
          </w:p>
        </w:tc>
        <w:tc>
          <w:tcPr>
            <w:tcW w:w="2239" w:type="dxa"/>
            <w:noWrap/>
          </w:tcPr>
          <w:p w14:paraId="1E25C9B8" w14:textId="1FA3E2E4"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Ministry of </w:t>
            </w:r>
            <w:r>
              <w:rPr>
                <w:rFonts w:eastAsia="Times New Roman" w:cs="Arial"/>
                <w:color w:val="000000"/>
                <w:sz w:val="20"/>
                <w:szCs w:val="20"/>
                <w:lang w:eastAsia="de-DE"/>
              </w:rPr>
              <w:t>Labour</w:t>
            </w:r>
            <w:r w:rsidRPr="00C74A1F">
              <w:rPr>
                <w:rFonts w:eastAsia="Times New Roman" w:cs="Arial"/>
                <w:color w:val="000000"/>
                <w:sz w:val="20"/>
                <w:szCs w:val="20"/>
                <w:lang w:eastAsia="de-DE"/>
              </w:rPr>
              <w:t xml:space="preserve"> and Social Security</w:t>
            </w:r>
          </w:p>
        </w:tc>
      </w:tr>
      <w:tr w:rsidR="000B2D0C" w:rsidRPr="00102605" w14:paraId="2C0CC8A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FA65D71" w14:textId="65015A22"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Decree No 159/997 of the MTOP.</w:t>
            </w:r>
          </w:p>
        </w:tc>
        <w:tc>
          <w:tcPr>
            <w:tcW w:w="4423" w:type="dxa"/>
            <w:noWrap/>
          </w:tcPr>
          <w:p w14:paraId="2C5BBC87" w14:textId="07ED6C25"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Establishes a series of regulations controlling emission levels: Maximum emission limits for polluting gases and noise for motor vehicles.</w:t>
            </w:r>
          </w:p>
        </w:tc>
        <w:tc>
          <w:tcPr>
            <w:tcW w:w="2239" w:type="dxa"/>
            <w:noWrap/>
          </w:tcPr>
          <w:p w14:paraId="565C3FEA" w14:textId="3E1CCE79"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Transport and Public Works (MTOP)</w:t>
            </w:r>
          </w:p>
        </w:tc>
      </w:tr>
      <w:tr w:rsidR="000B2D0C" w:rsidRPr="00102605" w14:paraId="394FE41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1884039" w14:textId="531F741B"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 xml:space="preserve">Resolution 4541/17 of the </w:t>
            </w:r>
            <w:proofErr w:type="spellStart"/>
            <w:r w:rsidRPr="00EF47DA">
              <w:rPr>
                <w:rFonts w:eastAsia="Times New Roman" w:cs="Arial"/>
                <w:color w:val="000000"/>
                <w:sz w:val="20"/>
                <w:szCs w:val="20"/>
                <w:lang w:eastAsia="de-DE"/>
              </w:rPr>
              <w:t>IdM</w:t>
            </w:r>
            <w:proofErr w:type="spellEnd"/>
            <w:r w:rsidRPr="00EF47DA">
              <w:rPr>
                <w:rFonts w:eastAsia="Times New Roman" w:cs="Arial"/>
                <w:color w:val="000000"/>
                <w:sz w:val="20"/>
                <w:szCs w:val="20"/>
                <w:lang w:eastAsia="de-DE"/>
              </w:rPr>
              <w:t>.</w:t>
            </w:r>
          </w:p>
        </w:tc>
        <w:tc>
          <w:tcPr>
            <w:tcW w:w="4423" w:type="dxa"/>
            <w:noWrap/>
          </w:tcPr>
          <w:p w14:paraId="7314B840" w14:textId="57AEFCDB"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Measures for improving the quality and comfort of the public transport. The resolution limits the places where loudspeakers can be placed (restricting the driver and collector area) and limits the sound pressure level inside the vehicles (it can’t exceed 60dB).</w:t>
            </w:r>
          </w:p>
        </w:tc>
        <w:tc>
          <w:tcPr>
            <w:tcW w:w="2239" w:type="dxa"/>
            <w:noWrap/>
          </w:tcPr>
          <w:p w14:paraId="7CED5E84" w14:textId="2B4B3822"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Transport and Public Works (MTOP)</w:t>
            </w:r>
          </w:p>
        </w:tc>
      </w:tr>
      <w:tr w:rsidR="000B2D0C" w:rsidRPr="00102605" w14:paraId="6917F347"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664326E" w14:textId="41A4780D"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Decree No 603/008 of the MTOP</w:t>
            </w:r>
          </w:p>
        </w:tc>
        <w:tc>
          <w:tcPr>
            <w:tcW w:w="4423" w:type="dxa"/>
            <w:noWrap/>
          </w:tcPr>
          <w:p w14:paraId="2CEF977B" w14:textId="7CDD0772"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Determines the age of touristic and long and medium distance international regular service buses, which shall not be more than 10 years; for the rest of the services, the maximum age requirement is 18 years, with the company fleet not being authorized to exceed an average of 12 years. For services related to traffic considered secondary for the DNT (such as own, </w:t>
            </w:r>
            <w:r w:rsidRPr="00102605">
              <w:rPr>
                <w:rFonts w:eastAsia="Times New Roman" w:cs="Arial"/>
                <w:color w:val="000000"/>
                <w:sz w:val="20"/>
                <w:szCs w:val="20"/>
                <w:lang w:eastAsia="de-DE"/>
              </w:rPr>
              <w:t>official,</w:t>
            </w:r>
            <w:r w:rsidRPr="00EF47DA">
              <w:rPr>
                <w:rFonts w:eastAsia="Times New Roman" w:cs="Arial"/>
                <w:color w:val="000000"/>
                <w:sz w:val="20"/>
                <w:szCs w:val="20"/>
                <w:lang w:eastAsia="de-DE"/>
              </w:rPr>
              <w:t xml:space="preserve"> and secondary tourism), may reach 25 years.</w:t>
            </w:r>
          </w:p>
        </w:tc>
        <w:tc>
          <w:tcPr>
            <w:tcW w:w="2239" w:type="dxa"/>
            <w:noWrap/>
          </w:tcPr>
          <w:p w14:paraId="7E930446" w14:textId="33A0D119"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Transport and Public Works (MTOP)</w:t>
            </w:r>
          </w:p>
        </w:tc>
      </w:tr>
      <w:tr w:rsidR="000B2D0C" w:rsidRPr="00102605" w14:paraId="736AE5E6"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118B7B1" w14:textId="39D65B52"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Decree 1010/975 of 1975 and amendments, Decree 682/987 of 1987 and Decree 152/985 of 1985 of the MTOP</w:t>
            </w:r>
          </w:p>
        </w:tc>
        <w:tc>
          <w:tcPr>
            <w:tcW w:w="4423" w:type="dxa"/>
            <w:noWrap/>
          </w:tcPr>
          <w:p w14:paraId="7C4BC15C" w14:textId="5F1E47C8"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Companies interested in importing buses must request and process a bus Need Certificate before the DNT, MTOP. In addition, they must receive the approval of the relevant Departmental Municipality, signed by the highest departmental authority (Intendente).</w:t>
            </w:r>
          </w:p>
        </w:tc>
        <w:tc>
          <w:tcPr>
            <w:tcW w:w="2239" w:type="dxa"/>
            <w:noWrap/>
          </w:tcPr>
          <w:p w14:paraId="0145F23E" w14:textId="777EB21C"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Ministry of Transport and Public Works (MTOP) </w:t>
            </w:r>
          </w:p>
        </w:tc>
      </w:tr>
      <w:tr w:rsidR="000B2D0C" w:rsidRPr="00102605" w14:paraId="12A272E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6B59F35" w14:textId="38E2EA37" w:rsidR="000B2D0C" w:rsidRPr="00EF47DA" w:rsidRDefault="000B2D0C" w:rsidP="000B2D0C">
            <w:pPr>
              <w:jc w:val="left"/>
              <w:rPr>
                <w:rFonts w:eastAsia="Times New Roman" w:cs="Arial"/>
                <w:color w:val="000000"/>
                <w:sz w:val="20"/>
                <w:szCs w:val="20"/>
                <w:lang w:eastAsia="de-DE"/>
              </w:rPr>
            </w:pPr>
            <w:proofErr w:type="spellStart"/>
            <w:r w:rsidRPr="00EF47DA">
              <w:rPr>
                <w:rFonts w:eastAsia="Times New Roman" w:cs="Arial"/>
                <w:color w:val="000000"/>
                <w:sz w:val="20"/>
                <w:szCs w:val="20"/>
                <w:lang w:eastAsia="de-DE"/>
              </w:rPr>
              <w:t>IdM</w:t>
            </w:r>
            <w:proofErr w:type="spellEnd"/>
            <w:r w:rsidRPr="00EF47DA">
              <w:rPr>
                <w:rFonts w:eastAsia="Times New Roman" w:cs="Arial"/>
                <w:color w:val="000000"/>
                <w:sz w:val="20"/>
                <w:szCs w:val="20"/>
                <w:lang w:eastAsia="de-DE"/>
              </w:rPr>
              <w:t xml:space="preserve"> Resolution No. 4037/013.</w:t>
            </w:r>
          </w:p>
        </w:tc>
        <w:tc>
          <w:tcPr>
            <w:tcW w:w="4423" w:type="dxa"/>
            <w:noWrap/>
          </w:tcPr>
          <w:p w14:paraId="70A980FA" w14:textId="124BEB37"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Establishes requirements for the renewal of the passenger urban mass transport fleet (Euro III, low floor with ramp or lifting platform, among others.</w:t>
            </w:r>
          </w:p>
        </w:tc>
        <w:tc>
          <w:tcPr>
            <w:tcW w:w="2239" w:type="dxa"/>
            <w:noWrap/>
          </w:tcPr>
          <w:p w14:paraId="31C5F706" w14:textId="5283D34F"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Ministry of Transport and Public Works (MTOP) </w:t>
            </w:r>
          </w:p>
        </w:tc>
      </w:tr>
      <w:tr w:rsidR="000B2D0C" w:rsidRPr="00102605" w14:paraId="46D075B4"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D8DA33C" w14:textId="45B737A8"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UNIT 1130:2013, Energy efficiency - Lightweight motor vehicles</w:t>
            </w:r>
            <w:r w:rsidRPr="00EF47DA">
              <w:rPr>
                <w:rFonts w:cs="Arial"/>
                <w:sz w:val="20"/>
                <w:szCs w:val="20"/>
              </w:rPr>
              <w:t xml:space="preserve"> </w:t>
            </w:r>
          </w:p>
        </w:tc>
        <w:tc>
          <w:tcPr>
            <w:tcW w:w="4423" w:type="dxa"/>
            <w:noWrap/>
          </w:tcPr>
          <w:p w14:paraId="5DBBFA2E" w14:textId="3D2EA7DB"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Labelling</w:t>
            </w:r>
            <w:r w:rsidRPr="00EF47DA">
              <w:rPr>
                <w:rFonts w:eastAsia="Times New Roman" w:cs="Arial"/>
                <w:color w:val="000000"/>
                <w:sz w:val="20"/>
                <w:szCs w:val="20"/>
                <w:lang w:eastAsia="de-DE"/>
              </w:rPr>
              <w:t xml:space="preserve"> Establishes the requirements for the energy efficiency label of new lightweight motor vehicles, with internal combustion engines, Otto or Diesel cycles, and electric hybrids rechargeable through the grid.</w:t>
            </w:r>
          </w:p>
        </w:tc>
        <w:tc>
          <w:tcPr>
            <w:tcW w:w="2239" w:type="dxa"/>
            <w:noWrap/>
          </w:tcPr>
          <w:p w14:paraId="0F799832" w14:textId="264E5059"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Ministry of Transport and Public Works (MTOP) </w:t>
            </w:r>
          </w:p>
        </w:tc>
      </w:tr>
      <w:tr w:rsidR="000B2D0C" w:rsidRPr="00102605" w14:paraId="488FDF1E"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8833866" w14:textId="2E444A43" w:rsidR="000B2D0C" w:rsidRPr="00EF47DA" w:rsidRDefault="000B2D0C" w:rsidP="000B2D0C">
            <w:pPr>
              <w:jc w:val="left"/>
              <w:rPr>
                <w:rFonts w:eastAsia="Times New Roman" w:cs="Arial"/>
                <w:color w:val="000000"/>
                <w:sz w:val="20"/>
                <w:szCs w:val="20"/>
                <w:lang w:eastAsia="de-DE"/>
              </w:rPr>
            </w:pPr>
            <w:r w:rsidRPr="00EF47DA">
              <w:rPr>
                <w:rFonts w:eastAsia="Times New Roman" w:cs="Arial"/>
                <w:color w:val="000000"/>
                <w:sz w:val="20"/>
                <w:szCs w:val="20"/>
                <w:lang w:eastAsia="de-DE"/>
              </w:rPr>
              <w:t xml:space="preserve">Resolution 5055/2011 of the </w:t>
            </w:r>
            <w:proofErr w:type="spellStart"/>
            <w:r w:rsidRPr="00EF47DA">
              <w:rPr>
                <w:rFonts w:eastAsia="Times New Roman" w:cs="Arial"/>
                <w:color w:val="000000"/>
                <w:sz w:val="20"/>
                <w:szCs w:val="20"/>
                <w:lang w:eastAsia="de-DE"/>
              </w:rPr>
              <w:t>IdM</w:t>
            </w:r>
            <w:proofErr w:type="spellEnd"/>
          </w:p>
        </w:tc>
        <w:tc>
          <w:tcPr>
            <w:tcW w:w="4423" w:type="dxa"/>
            <w:noWrap/>
          </w:tcPr>
          <w:p w14:paraId="13FB3BB6" w14:textId="320FC13E"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 xml:space="preserve">Approves the Authorization Protocol granting the Environmental Quality Laboratory Service for final disposition of public and private waste producers from industries, </w:t>
            </w:r>
            <w:r w:rsidRPr="00102605">
              <w:rPr>
                <w:rFonts w:eastAsia="Times New Roman" w:cs="Arial"/>
                <w:color w:val="000000"/>
                <w:sz w:val="20"/>
                <w:szCs w:val="20"/>
                <w:lang w:eastAsia="de-DE"/>
              </w:rPr>
              <w:t>retailers,</w:t>
            </w:r>
            <w:r w:rsidRPr="00EF47DA">
              <w:rPr>
                <w:rFonts w:eastAsia="Times New Roman" w:cs="Arial"/>
                <w:color w:val="000000"/>
                <w:sz w:val="20"/>
                <w:szCs w:val="20"/>
                <w:lang w:eastAsia="de-DE"/>
              </w:rPr>
              <w:t xml:space="preserve"> and services.</w:t>
            </w:r>
          </w:p>
          <w:p w14:paraId="3D1788FB" w14:textId="282E66CC"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EF47DA">
              <w:rPr>
                <w:rFonts w:eastAsia="Times New Roman" w:cs="Arial"/>
                <w:color w:val="000000"/>
                <w:sz w:val="20"/>
                <w:szCs w:val="20"/>
                <w:lang w:eastAsia="de-DE"/>
              </w:rPr>
              <w:t>Transport operators shall have a Waste Management Plan (WMP) approved by the Montevideo Municipality.</w:t>
            </w:r>
          </w:p>
        </w:tc>
        <w:tc>
          <w:tcPr>
            <w:tcW w:w="2239" w:type="dxa"/>
            <w:noWrap/>
          </w:tcPr>
          <w:p w14:paraId="4AEEDC8D" w14:textId="66DF45EE" w:rsidR="000B2D0C" w:rsidRPr="00EF47DA" w:rsidRDefault="000B2D0C" w:rsidP="000B2D0C">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102605">
              <w:rPr>
                <w:rFonts w:eastAsia="Times New Roman" w:cs="Arial"/>
                <w:color w:val="000000"/>
                <w:sz w:val="20"/>
                <w:szCs w:val="20"/>
                <w:lang w:eastAsia="de-DE"/>
              </w:rPr>
              <w:t>Ministry of Housing Land Planning and Environment -DINAMA</w:t>
            </w:r>
          </w:p>
        </w:tc>
      </w:tr>
      <w:tr w:rsidR="005157A3" w:rsidRPr="00102605" w14:paraId="41B46AEC"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D53C3E3" w14:textId="5CE1D917" w:rsidR="004E08E7" w:rsidRPr="00EF47DA" w:rsidRDefault="004E08E7" w:rsidP="004E08E7">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 xml:space="preserve">Decree Law No 10.382. Road classification </w:t>
            </w:r>
          </w:p>
        </w:tc>
        <w:tc>
          <w:tcPr>
            <w:tcW w:w="4423" w:type="dxa"/>
            <w:noWrap/>
          </w:tcPr>
          <w:p w14:paraId="218EB4EE" w14:textId="5F523B6B" w:rsidR="004E08E7" w:rsidRPr="00EF47DA"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 xml:space="preserve">Defines the classification of national, departmental, and neighbourhood roads. Regulates buildings, </w:t>
            </w:r>
            <w:proofErr w:type="gramStart"/>
            <w:r w:rsidRPr="00C74A1F">
              <w:rPr>
                <w:rFonts w:eastAsia="Times New Roman" w:cs="Arial"/>
                <w:color w:val="000000"/>
                <w:sz w:val="20"/>
                <w:szCs w:val="20"/>
                <w:lang w:eastAsia="de-DE"/>
              </w:rPr>
              <w:t>transit</w:t>
            </w:r>
            <w:proofErr w:type="gramEnd"/>
            <w:r w:rsidRPr="00C74A1F">
              <w:rPr>
                <w:rFonts w:eastAsia="Times New Roman" w:cs="Arial"/>
                <w:color w:val="000000"/>
                <w:sz w:val="20"/>
                <w:szCs w:val="20"/>
                <w:lang w:eastAsia="de-DE"/>
              </w:rPr>
              <w:t xml:space="preserve"> and financing.</w:t>
            </w:r>
          </w:p>
        </w:tc>
        <w:tc>
          <w:tcPr>
            <w:tcW w:w="2239" w:type="dxa"/>
            <w:noWrap/>
          </w:tcPr>
          <w:p w14:paraId="7ABFE3A7" w14:textId="70BE5F92" w:rsidR="004E08E7" w:rsidRPr="00102605"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Transport and Public Works (MTOP)</w:t>
            </w:r>
          </w:p>
        </w:tc>
      </w:tr>
      <w:tr w:rsidR="005157A3" w:rsidRPr="00102605" w14:paraId="3A8F3B96"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60B8D4D" w14:textId="52654CDD" w:rsidR="004E08E7" w:rsidRPr="00EF47DA" w:rsidRDefault="004E08E7" w:rsidP="004E08E7">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C74A1F">
              <w:rPr>
                <w:rFonts w:eastAsia="Times New Roman" w:cs="Arial"/>
                <w:color w:val="000000"/>
                <w:sz w:val="20"/>
                <w:szCs w:val="20"/>
                <w:lang w:eastAsia="de-DE"/>
              </w:rPr>
              <w:t>Decree 111/008</w:t>
            </w:r>
          </w:p>
        </w:tc>
        <w:tc>
          <w:tcPr>
            <w:tcW w:w="4423" w:type="dxa"/>
            <w:noWrap/>
          </w:tcPr>
          <w:p w14:paraId="04387B79" w14:textId="1342989F" w:rsidR="004E08E7" w:rsidRPr="00EF47DA"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Regulates the effective control of the emission standards and noise standards from heavy duty vehicles.</w:t>
            </w:r>
          </w:p>
        </w:tc>
        <w:tc>
          <w:tcPr>
            <w:tcW w:w="2239" w:type="dxa"/>
            <w:noWrap/>
          </w:tcPr>
          <w:p w14:paraId="05E582CA" w14:textId="7CE5D989" w:rsidR="004E08E7" w:rsidRPr="00102605"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Transport and Public Works (MTOP)</w:t>
            </w:r>
          </w:p>
        </w:tc>
      </w:tr>
      <w:tr w:rsidR="005157A3" w:rsidRPr="00102605" w14:paraId="62B546EA"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9C153D3" w14:textId="18D74B71" w:rsidR="004E08E7" w:rsidRPr="00EF47DA" w:rsidRDefault="004E08E7" w:rsidP="004E08E7">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FC64F2">
              <w:rPr>
                <w:rFonts w:eastAsia="Times New Roman" w:cs="Arial"/>
                <w:color w:val="000000"/>
                <w:sz w:val="20"/>
                <w:szCs w:val="20"/>
                <w:lang w:eastAsia="de-DE"/>
              </w:rPr>
              <w:t>Decree No 280/018. Regulates Art 173 of Law 18834</w:t>
            </w:r>
          </w:p>
        </w:tc>
        <w:tc>
          <w:tcPr>
            <w:tcW w:w="4423" w:type="dxa"/>
            <w:noWrap/>
          </w:tcPr>
          <w:p w14:paraId="68B9A3AF" w14:textId="1675EC78" w:rsidR="004E08E7" w:rsidRPr="00EF47DA"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color w:val="000000"/>
                <w:sz w:val="20"/>
                <w:szCs w:val="20"/>
                <w:lang w:eastAsia="de-DE"/>
              </w:rPr>
              <w:t>Defines the principles that rule the general operation of the national railway system, its administration and related infrastructure.</w:t>
            </w:r>
          </w:p>
        </w:tc>
        <w:tc>
          <w:tcPr>
            <w:tcW w:w="2239" w:type="dxa"/>
            <w:noWrap/>
          </w:tcPr>
          <w:p w14:paraId="34C96F34" w14:textId="44FD76D5" w:rsidR="004E08E7" w:rsidRPr="00102605"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Transport and Public Works (MTOP)</w:t>
            </w:r>
          </w:p>
        </w:tc>
      </w:tr>
      <w:tr w:rsidR="005157A3" w:rsidRPr="00102605" w14:paraId="4F6E472D"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88CE412" w14:textId="4AC4AEE8" w:rsidR="004E08E7" w:rsidRPr="00EF47DA" w:rsidRDefault="004E08E7" w:rsidP="004E08E7">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sidRPr="00FC64F2">
              <w:rPr>
                <w:rFonts w:eastAsia="Times New Roman" w:cs="Arial"/>
                <w:color w:val="000000"/>
                <w:sz w:val="20"/>
                <w:szCs w:val="20"/>
                <w:lang w:eastAsia="de-DE"/>
              </w:rPr>
              <w:t>Decree No 218/006</w:t>
            </w:r>
            <w:r w:rsidRPr="00C74A1F">
              <w:rPr>
                <w:rFonts w:eastAsia="Times New Roman" w:cs="Arial"/>
                <w:color w:val="000000"/>
                <w:sz w:val="20"/>
                <w:szCs w:val="20"/>
                <w:lang w:eastAsia="de-DE"/>
              </w:rPr>
              <w:t>. Passenger transport</w:t>
            </w:r>
          </w:p>
        </w:tc>
        <w:tc>
          <w:tcPr>
            <w:tcW w:w="4423" w:type="dxa"/>
            <w:noWrap/>
          </w:tcPr>
          <w:p w14:paraId="00166255" w14:textId="7676D8D6" w:rsidR="004E08E7" w:rsidRPr="00EF47DA"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Defines the renewal fleet of motor vehicles of collective passenger transport as part of the national transport policy.</w:t>
            </w:r>
          </w:p>
        </w:tc>
        <w:tc>
          <w:tcPr>
            <w:tcW w:w="2239" w:type="dxa"/>
            <w:noWrap/>
          </w:tcPr>
          <w:p w14:paraId="75C6F78B" w14:textId="486992C9" w:rsidR="004E08E7" w:rsidRPr="00102605" w:rsidRDefault="004E08E7" w:rsidP="004E08E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C74A1F">
              <w:rPr>
                <w:rFonts w:eastAsia="Times New Roman" w:cs="Arial"/>
                <w:color w:val="000000"/>
                <w:sz w:val="20"/>
                <w:szCs w:val="20"/>
                <w:lang w:eastAsia="de-DE"/>
              </w:rPr>
              <w:t>Ministry of Transport and Public Works (MTOP)</w:t>
            </w:r>
          </w:p>
        </w:tc>
      </w:tr>
      <w:tr w:rsidR="005157A3" w:rsidRPr="00102605" w14:paraId="4AC9794A" w14:textId="77777777" w:rsidTr="00D50D43">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59A070D" w14:textId="6FF8C7DA" w:rsidR="00F95777" w:rsidRDefault="00F95777" w:rsidP="00F95777">
            <w:pPr>
              <w:jc w:val="left"/>
              <w:rPr>
                <w:rFonts w:eastAsia="Times New Roman" w:cs="Arial"/>
                <w:color w:val="000000"/>
                <w:sz w:val="20"/>
                <w:szCs w:val="20"/>
                <w:lang w:eastAsia="de-DE"/>
              </w:rPr>
            </w:pPr>
            <w:r w:rsidRPr="00987A88">
              <w:rPr>
                <w:rFonts w:eastAsia="Times New Roman" w:cs="Arial"/>
                <w:color w:val="000000"/>
                <w:sz w:val="20"/>
                <w:szCs w:val="20"/>
                <w:lang w:eastAsia="de-DE"/>
              </w:rPr>
              <w:t xml:space="preserve">- </w:t>
            </w:r>
            <w:r w:rsidRPr="00FC64F2">
              <w:rPr>
                <w:rFonts w:eastAsia="Times New Roman" w:cs="Arial"/>
                <w:color w:val="000000"/>
                <w:sz w:val="20"/>
                <w:szCs w:val="20"/>
                <w:lang w:eastAsia="de-DE"/>
              </w:rPr>
              <w:t>Law No 19.580. Violence based on gender</w:t>
            </w:r>
          </w:p>
        </w:tc>
        <w:tc>
          <w:tcPr>
            <w:tcW w:w="4423" w:type="dxa"/>
            <w:noWrap/>
          </w:tcPr>
          <w:p w14:paraId="510D2CDA" w14:textId="3617EBE9" w:rsidR="00F95777" w:rsidRPr="00C74A1F" w:rsidRDefault="00F95777" w:rsidP="00F9577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color w:val="000000"/>
                <w:sz w:val="20"/>
                <w:szCs w:val="20"/>
                <w:lang w:eastAsia="de-DE"/>
              </w:rPr>
              <w:t xml:space="preserve">Modifies Civil and Penal Code to assure the effective women´s right of a gender-based violence-free life. Defines that administrative, </w:t>
            </w:r>
            <w:proofErr w:type="gramStart"/>
            <w:r w:rsidRPr="00FC64F2">
              <w:rPr>
                <w:rFonts w:eastAsia="Times New Roman" w:cs="Arial"/>
                <w:color w:val="000000"/>
                <w:sz w:val="20"/>
                <w:szCs w:val="20"/>
                <w:lang w:eastAsia="de-DE"/>
              </w:rPr>
              <w:t>public</w:t>
            </w:r>
            <w:proofErr w:type="gramEnd"/>
            <w:r w:rsidRPr="00FC64F2">
              <w:rPr>
                <w:rFonts w:eastAsia="Times New Roman" w:cs="Arial"/>
                <w:color w:val="000000"/>
                <w:sz w:val="20"/>
                <w:szCs w:val="20"/>
                <w:lang w:eastAsia="de-DE"/>
              </w:rPr>
              <w:t xml:space="preserve"> and private spaces must adopt measures for prevention, protection, investigation and sanction of gender-based violence.</w:t>
            </w:r>
          </w:p>
        </w:tc>
        <w:tc>
          <w:tcPr>
            <w:tcW w:w="2239" w:type="dxa"/>
            <w:noWrap/>
          </w:tcPr>
          <w:p w14:paraId="017E8AB4" w14:textId="4EC20AE8" w:rsidR="00F95777" w:rsidRPr="00C74A1F" w:rsidRDefault="00F95777" w:rsidP="00F9577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Social Development</w:t>
            </w:r>
          </w:p>
        </w:tc>
      </w:tr>
      <w:tr w:rsidR="005157A3" w:rsidRPr="00102605" w14:paraId="6711C045" w14:textId="77777777" w:rsidTr="00D50D43">
        <w:trPr>
          <w:trHeight w:val="457"/>
        </w:trPr>
        <w:tc>
          <w:tcPr>
            <w:cnfStyle w:val="001000000000" w:firstRow="0" w:lastRow="0" w:firstColumn="1" w:lastColumn="0" w:oddVBand="0" w:evenVBand="0" w:oddHBand="0" w:evenHBand="0" w:firstRowFirstColumn="0" w:firstRowLastColumn="0" w:lastRowFirstColumn="0" w:lastRowLastColumn="0"/>
            <w:tcW w:w="2694" w:type="dxa"/>
            <w:noWrap/>
          </w:tcPr>
          <w:p w14:paraId="7540504C" w14:textId="05294824" w:rsidR="00F95777" w:rsidRDefault="00F95777" w:rsidP="00F95777">
            <w:pPr>
              <w:jc w:val="left"/>
              <w:rPr>
                <w:rFonts w:eastAsia="Times New Roman" w:cs="Arial"/>
                <w:color w:val="000000"/>
                <w:sz w:val="20"/>
                <w:szCs w:val="20"/>
                <w:lang w:eastAsia="de-DE"/>
              </w:rPr>
            </w:pPr>
            <w:r w:rsidRPr="00FC64F2">
              <w:rPr>
                <w:rFonts w:eastAsia="Times New Roman" w:cs="Arial"/>
                <w:color w:val="000000"/>
                <w:sz w:val="20"/>
                <w:szCs w:val="20"/>
                <w:lang w:eastAsia="de-DE"/>
              </w:rPr>
              <w:t>Law No 18.561. Sexual harassment</w:t>
            </w:r>
          </w:p>
        </w:tc>
        <w:tc>
          <w:tcPr>
            <w:tcW w:w="4423" w:type="dxa"/>
            <w:noWrap/>
          </w:tcPr>
          <w:p w14:paraId="3F556F2B" w14:textId="1BC14919" w:rsidR="00F95777" w:rsidRPr="00C74A1F" w:rsidRDefault="00F95777" w:rsidP="00F9577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FC64F2">
              <w:rPr>
                <w:rFonts w:eastAsia="Times New Roman" w:cs="Arial"/>
                <w:sz w:val="20"/>
                <w:szCs w:val="20"/>
                <w:lang w:eastAsia="de-DE"/>
              </w:rPr>
              <w:t xml:space="preserve">Regulates employer duties that must be adopted to prevent and sanction sexual harassment </w:t>
            </w:r>
          </w:p>
        </w:tc>
        <w:tc>
          <w:tcPr>
            <w:tcW w:w="2239" w:type="dxa"/>
            <w:noWrap/>
          </w:tcPr>
          <w:p w14:paraId="4B968C54" w14:textId="611E0A83" w:rsidR="00F95777" w:rsidRPr="00C74A1F" w:rsidRDefault="00F95777" w:rsidP="00F95777">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5D5CF5">
              <w:rPr>
                <w:rFonts w:eastAsia="Times New Roman" w:cs="Arial"/>
                <w:color w:val="000000"/>
                <w:sz w:val="20"/>
                <w:szCs w:val="20"/>
                <w:lang w:eastAsia="de-DE"/>
              </w:rPr>
              <w:t>Ministry of Social Development</w:t>
            </w:r>
          </w:p>
        </w:tc>
      </w:tr>
      <w:tr w:rsidR="00F95777" w:rsidRPr="00102605" w14:paraId="5040F31F" w14:textId="77777777" w:rsidTr="00CF44FC">
        <w:trPr>
          <w:trHeight w:val="183"/>
        </w:trPr>
        <w:tc>
          <w:tcPr>
            <w:cnfStyle w:val="001000000000" w:firstRow="0" w:lastRow="0" w:firstColumn="1" w:lastColumn="0" w:oddVBand="0" w:evenVBand="0" w:oddHBand="0" w:evenHBand="0" w:firstRowFirstColumn="0" w:firstRowLastColumn="0" w:lastRowFirstColumn="0" w:lastRowLastColumn="0"/>
            <w:tcW w:w="9356" w:type="dxa"/>
            <w:gridSpan w:val="3"/>
            <w:noWrap/>
          </w:tcPr>
          <w:p w14:paraId="47ACEE5B" w14:textId="77777777" w:rsidR="00F95777" w:rsidRPr="00102605" w:rsidRDefault="00F95777" w:rsidP="00F95777">
            <w:pPr>
              <w:jc w:val="left"/>
              <w:rPr>
                <w:rFonts w:eastAsia="Times New Roman" w:cs="Arial"/>
                <w:color w:val="000000"/>
                <w:sz w:val="20"/>
                <w:szCs w:val="20"/>
                <w:lang w:eastAsia="de-DE"/>
              </w:rPr>
            </w:pPr>
            <w:r w:rsidRPr="00102605">
              <w:rPr>
                <w:rFonts w:eastAsia="Times New Roman" w:cs="Arial"/>
                <w:color w:val="000000"/>
                <w:sz w:val="20"/>
                <w:szCs w:val="20"/>
                <w:lang w:eastAsia="de-DE"/>
              </w:rPr>
              <w:t>Gender</w:t>
            </w:r>
          </w:p>
        </w:tc>
      </w:tr>
      <w:tr w:rsidR="00F95777" w:rsidRPr="00102605" w14:paraId="123D3994" w14:textId="77777777" w:rsidTr="003E6FF8">
        <w:trPr>
          <w:trHeight w:val="327"/>
        </w:trPr>
        <w:tc>
          <w:tcPr>
            <w:cnfStyle w:val="001000000000" w:firstRow="0" w:lastRow="0" w:firstColumn="1" w:lastColumn="0" w:oddVBand="0" w:evenVBand="0" w:oddHBand="0" w:evenHBand="0" w:firstRowFirstColumn="0" w:firstRowLastColumn="0" w:lastRowFirstColumn="0" w:lastRowLastColumn="0"/>
            <w:tcW w:w="9356" w:type="dxa"/>
            <w:gridSpan w:val="3"/>
            <w:noWrap/>
          </w:tcPr>
          <w:p w14:paraId="4B1D48C3"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15,164 from 1981, Ratification of the Convention on the Elimination of All Forms of Discrimination Against Women (CEDAW)</w:t>
            </w:r>
          </w:p>
          <w:p w14:paraId="3D7D34E9"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16,045 from 1989, Act on equal opportunities and treatment between men and women in employment.</w:t>
            </w:r>
          </w:p>
          <w:p w14:paraId="0763A0D8"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16,735 from 1996, Ratification of the Belem International Convention on Human Rights</w:t>
            </w:r>
          </w:p>
          <w:p w14:paraId="141E3BEA"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17,514 from 2002, Eradication of domestic violence act</w:t>
            </w:r>
          </w:p>
          <w:p w14:paraId="66ED3162"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17,707 from 2003, Creation of courts specialized in domestic violence act</w:t>
            </w:r>
          </w:p>
          <w:p w14:paraId="1B79FF88" w14:textId="7777777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17,815 from 2004, Act for protection against commercial sexual exploitation of children, adolescents and disabled</w:t>
            </w:r>
          </w:p>
          <w:p w14:paraId="0BA0C472" w14:textId="37A9BC41"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18,104 from 2007, Act on equal rights and opportunities for men and women. This act creates s the National Council on Gender.</w:t>
            </w:r>
          </w:p>
          <w:p w14:paraId="319CEFB4" w14:textId="4AA49B27"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18,561 from 2009, Act on sexual harassment</w:t>
            </w:r>
          </w:p>
          <w:p w14:paraId="6CA49F42" w14:textId="1F567B72" w:rsidR="00F95777" w:rsidRPr="000B7DAE" w:rsidRDefault="00F95777" w:rsidP="007618E4">
            <w:pPr>
              <w:pStyle w:val="Prrafodelista"/>
              <w:numPr>
                <w:ilvl w:val="0"/>
                <w:numId w:val="48"/>
              </w:numPr>
              <w:ind w:left="313" w:hanging="284"/>
              <w:rPr>
                <w:b w:val="0"/>
                <w:bCs w:val="0"/>
                <w:sz w:val="18"/>
                <w:szCs w:val="18"/>
              </w:rPr>
            </w:pPr>
            <w:r w:rsidRPr="007618E4">
              <w:rPr>
                <w:b w:val="0"/>
                <w:bCs w:val="0"/>
                <w:sz w:val="18"/>
                <w:szCs w:val="18"/>
              </w:rPr>
              <w:t>Act 19,353 from 2015, Act on the creation of a national system of integrated care</w:t>
            </w:r>
          </w:p>
          <w:p w14:paraId="7510DEF1" w14:textId="77777777" w:rsidR="00F95777" w:rsidRPr="007618E4" w:rsidRDefault="00F95777" w:rsidP="007618E4">
            <w:pPr>
              <w:pStyle w:val="Prrafodelista"/>
              <w:numPr>
                <w:ilvl w:val="0"/>
                <w:numId w:val="48"/>
              </w:numPr>
              <w:ind w:left="313" w:hanging="284"/>
              <w:rPr>
                <w:rFonts w:eastAsia="Times New Roman" w:cs="Arial"/>
                <w:b w:val="0"/>
                <w:bCs w:val="0"/>
                <w:color w:val="000000"/>
                <w:sz w:val="20"/>
                <w:szCs w:val="20"/>
                <w:lang w:eastAsia="de-DE"/>
              </w:rPr>
            </w:pPr>
            <w:r w:rsidRPr="007618E4">
              <w:rPr>
                <w:b w:val="0"/>
                <w:bCs w:val="0"/>
                <w:sz w:val="18"/>
                <w:szCs w:val="18"/>
              </w:rPr>
              <w:t>Act 19,580 from 2017, Act on violence against women based on gender</w:t>
            </w:r>
          </w:p>
          <w:p w14:paraId="6EA3F958" w14:textId="52066083" w:rsidR="0069308C" w:rsidRPr="007618E4" w:rsidRDefault="0069308C" w:rsidP="007618E4">
            <w:pPr>
              <w:pStyle w:val="Prrafodelista"/>
              <w:numPr>
                <w:ilvl w:val="0"/>
                <w:numId w:val="48"/>
              </w:numPr>
              <w:ind w:left="313" w:hanging="284"/>
              <w:rPr>
                <w:rFonts w:eastAsia="Times New Roman" w:cs="Arial"/>
                <w:b w:val="0"/>
                <w:bCs w:val="0"/>
                <w:color w:val="000000"/>
                <w:sz w:val="20"/>
                <w:szCs w:val="20"/>
                <w:lang w:eastAsia="de-DE"/>
              </w:rPr>
            </w:pPr>
            <w:proofErr w:type="gramStart"/>
            <w:r w:rsidRPr="007618E4">
              <w:rPr>
                <w:rFonts w:cs="Arial"/>
                <w:b w:val="0"/>
                <w:bCs w:val="0"/>
                <w:sz w:val="18"/>
                <w:szCs w:val="18"/>
              </w:rPr>
              <w:t>Law 17886,</w:t>
            </w:r>
            <w:proofErr w:type="gramEnd"/>
            <w:r w:rsidRPr="007618E4">
              <w:rPr>
                <w:rFonts w:cs="Arial"/>
                <w:b w:val="0"/>
                <w:bCs w:val="0"/>
                <w:sz w:val="18"/>
                <w:szCs w:val="18"/>
              </w:rPr>
              <w:t xml:space="preserve"> creates the National Women Institute within the Social Development Ministry to promote gender policies, and public policies with gender perspective design, implementation, monitoring and assessment.</w:t>
            </w:r>
          </w:p>
          <w:p w14:paraId="23A1948A" w14:textId="77777777" w:rsidR="0069308C" w:rsidRPr="007618E4" w:rsidRDefault="0069308C" w:rsidP="007618E4">
            <w:pPr>
              <w:pStyle w:val="Prrafodelista"/>
              <w:numPr>
                <w:ilvl w:val="0"/>
                <w:numId w:val="48"/>
              </w:numPr>
              <w:ind w:left="313" w:hanging="284"/>
              <w:rPr>
                <w:rFonts w:cs="Arial"/>
                <w:b w:val="0"/>
                <w:bCs w:val="0"/>
                <w:sz w:val="18"/>
                <w:szCs w:val="18"/>
              </w:rPr>
            </w:pPr>
            <w:r w:rsidRPr="007618E4">
              <w:rPr>
                <w:rFonts w:cs="Arial"/>
                <w:b w:val="0"/>
                <w:bCs w:val="0"/>
                <w:sz w:val="18"/>
                <w:szCs w:val="18"/>
              </w:rPr>
              <w:t>Law 18.104 Declaration of general interest. Rights equality between men and women.</w:t>
            </w:r>
          </w:p>
          <w:p w14:paraId="403D7EFB" w14:textId="08CC3772" w:rsidR="0069308C" w:rsidRPr="007618E4" w:rsidRDefault="0069308C" w:rsidP="007618E4">
            <w:pPr>
              <w:pStyle w:val="Prrafodelista"/>
              <w:numPr>
                <w:ilvl w:val="0"/>
                <w:numId w:val="48"/>
              </w:numPr>
              <w:ind w:left="313" w:hanging="284"/>
              <w:rPr>
                <w:rFonts w:eastAsia="Times New Roman" w:cs="Arial"/>
                <w:b w:val="0"/>
                <w:bCs w:val="0"/>
                <w:color w:val="000000"/>
                <w:sz w:val="20"/>
                <w:szCs w:val="20"/>
                <w:lang w:eastAsia="de-DE"/>
              </w:rPr>
            </w:pPr>
            <w:r w:rsidRPr="007618E4">
              <w:rPr>
                <w:rFonts w:cs="Arial"/>
                <w:b w:val="0"/>
                <w:bCs w:val="0"/>
                <w:sz w:val="18"/>
                <w:szCs w:val="18"/>
              </w:rPr>
              <w:t>In 2018/2019 is created the Gender and Climate Change Strategy with the objectives to classify NDC´s measures according to their impact in the gender equality.</w:t>
            </w:r>
          </w:p>
        </w:tc>
      </w:tr>
    </w:tbl>
    <w:p w14:paraId="59868A13" w14:textId="77777777" w:rsidR="00CB255D" w:rsidRPr="00D50D43" w:rsidRDefault="00CB255D" w:rsidP="00CB255D">
      <w:pPr>
        <w:spacing w:after="0" w:line="240" w:lineRule="auto"/>
        <w:rPr>
          <w:rFonts w:cs="Arial"/>
          <w:i/>
          <w:iCs/>
          <w:sz w:val="20"/>
          <w:szCs w:val="20"/>
        </w:rPr>
      </w:pPr>
      <w:r w:rsidRPr="00D50D43">
        <w:rPr>
          <w:rFonts w:cs="Arial"/>
          <w:i/>
          <w:iCs/>
          <w:sz w:val="20"/>
          <w:szCs w:val="20"/>
        </w:rPr>
        <w:t xml:space="preserve">Sources: </w:t>
      </w:r>
      <w:r w:rsidRPr="00D50D43">
        <w:rPr>
          <w:rFonts w:cs="Arial"/>
          <w:sz w:val="20"/>
          <w:szCs w:val="20"/>
        </w:rPr>
        <w:t>Ministry of Environment, Ministry of Economy and Finance, Social Development Ministry, Ministry of Industry, Energy and Mining, Transport and Public Works Ministry,</w:t>
      </w:r>
      <w:r w:rsidRPr="00D50D43">
        <w:rPr>
          <w:rFonts w:cs="Arial"/>
          <w:i/>
          <w:iCs/>
          <w:sz w:val="20"/>
          <w:szCs w:val="20"/>
        </w:rPr>
        <w:t xml:space="preserve"> </w:t>
      </w:r>
      <w:hyperlink r:id="rId18" w:history="1">
        <w:r w:rsidRPr="00D50D43">
          <w:rPr>
            <w:rStyle w:val="Hipervnculo"/>
            <w:rFonts w:cs="Arial"/>
            <w:i/>
            <w:iCs/>
            <w:sz w:val="20"/>
            <w:szCs w:val="20"/>
          </w:rPr>
          <w:t>https://generoeninfraestructura.iadb.org</w:t>
        </w:r>
      </w:hyperlink>
      <w:r w:rsidRPr="00D50D43">
        <w:rPr>
          <w:rFonts w:cs="Arial"/>
          <w:i/>
          <w:iCs/>
          <w:sz w:val="20"/>
          <w:szCs w:val="20"/>
        </w:rPr>
        <w:t xml:space="preserve">, </w:t>
      </w:r>
      <w:hyperlink r:id="rId19" w:history="1">
        <w:r w:rsidRPr="00D50D43">
          <w:rPr>
            <w:rStyle w:val="Hipervnculo"/>
            <w:rFonts w:cs="Arial"/>
            <w:i/>
            <w:iCs/>
            <w:sz w:val="20"/>
            <w:szCs w:val="20"/>
          </w:rPr>
          <w:t>https://www.climate-laws.org</w:t>
        </w:r>
      </w:hyperlink>
      <w:r w:rsidRPr="00D50D43">
        <w:rPr>
          <w:rFonts w:cs="Arial"/>
          <w:i/>
          <w:iCs/>
          <w:sz w:val="20"/>
          <w:szCs w:val="20"/>
        </w:rPr>
        <w:t>/</w:t>
      </w:r>
    </w:p>
    <w:p w14:paraId="296F6BA6" w14:textId="77777777" w:rsidR="001B1774" w:rsidRDefault="001B1774" w:rsidP="00D07B6F">
      <w:pPr>
        <w:spacing w:after="0" w:line="240" w:lineRule="auto"/>
      </w:pPr>
    </w:p>
    <w:p w14:paraId="2D0B9B94" w14:textId="77777777" w:rsidR="00D50D43" w:rsidRPr="00102605" w:rsidRDefault="00D50D43" w:rsidP="00D07B6F">
      <w:pPr>
        <w:spacing w:after="0" w:line="240" w:lineRule="auto"/>
      </w:pPr>
    </w:p>
    <w:p w14:paraId="02469D3F" w14:textId="77777777" w:rsidR="006029C5" w:rsidRPr="00102605" w:rsidRDefault="006029C5" w:rsidP="00D07B6F">
      <w:pPr>
        <w:spacing w:after="0" w:line="240" w:lineRule="auto"/>
        <w:rPr>
          <w:b/>
          <w:bCs/>
        </w:rPr>
      </w:pPr>
      <w:r w:rsidRPr="00102605">
        <w:rPr>
          <w:b/>
          <w:bCs/>
        </w:rPr>
        <w:t>Transport Sector</w:t>
      </w:r>
    </w:p>
    <w:p w14:paraId="6A0B3C92" w14:textId="2B48107F" w:rsidR="006029C5" w:rsidRDefault="006029C5" w:rsidP="00D07B6F">
      <w:pPr>
        <w:spacing w:after="0" w:line="240" w:lineRule="auto"/>
      </w:pPr>
      <w:r w:rsidRPr="00102605">
        <w:t>Uruguay has a vehicle fleet of about 1.2 million units (2019). Road transport GHG emissions (tank to wheel) of Uruguay are estimated at 3.68 million tCO2eq in 2018. Commercial vehicles including taxis, buses and LCVs are responsible for 19% of GHG emissions. Trucks represent around 52% of NOx, PM2.5 and BC emissions, yet trucks are only 8.3% of the total vehicle stock. This result is due to being the main consumer of diesel in the transport sector. GHG emission from the transport sector are expected to grow under a BAU scenario by around 40% reaching 5.29 million tCO2eq by 2030.</w:t>
      </w:r>
      <w:r w:rsidR="00B679DB" w:rsidRPr="00102605">
        <w:t xml:space="preserve"> Uruguay it recognized for its recent transition to renewable energy in the power system, with 95% renewable sources in the power mix. Uruguay has adopted several national strategies that promote energy efficiency, increased renewable energy supply, and the reduction of fossil fuel consumption.</w:t>
      </w:r>
    </w:p>
    <w:p w14:paraId="06ADA791" w14:textId="77777777" w:rsidR="00D07B6F" w:rsidRPr="00102605" w:rsidRDefault="00D07B6F" w:rsidP="00D07B6F">
      <w:pPr>
        <w:spacing w:after="0" w:line="240" w:lineRule="auto"/>
      </w:pPr>
    </w:p>
    <w:p w14:paraId="7451E2B3" w14:textId="77777777" w:rsidR="006029C5" w:rsidRPr="00102605" w:rsidRDefault="006029C5" w:rsidP="00D07B6F">
      <w:pPr>
        <w:spacing w:after="0" w:line="240" w:lineRule="auto"/>
        <w:rPr>
          <w:b/>
          <w:bCs/>
        </w:rPr>
      </w:pPr>
      <w:r w:rsidRPr="00102605">
        <w:rPr>
          <w:b/>
          <w:bCs/>
        </w:rPr>
        <w:t>Climate and Energy Policies</w:t>
      </w:r>
    </w:p>
    <w:p w14:paraId="0472D7E1" w14:textId="13B2D44B" w:rsidR="006029C5" w:rsidRDefault="006029C5" w:rsidP="00D07B6F">
      <w:pPr>
        <w:spacing w:after="0" w:line="240" w:lineRule="auto"/>
      </w:pPr>
      <w:r w:rsidRPr="00102605">
        <w:t>According to Climate Watch data, total emissions in Uruguay in 201</w:t>
      </w:r>
      <w:r w:rsidR="003800ED">
        <w:t>9</w:t>
      </w:r>
      <w:r w:rsidRPr="00102605">
        <w:t xml:space="preserve"> were </w:t>
      </w:r>
      <w:r w:rsidR="005933E3" w:rsidRPr="006169D0">
        <w:rPr>
          <w:rFonts w:cs="Arial"/>
        </w:rPr>
        <w:t xml:space="preserve">34.36 </w:t>
      </w:r>
      <w:r w:rsidRPr="00102605">
        <w:t>million tCO2eq. In its NDC Uruguay aims at a</w:t>
      </w:r>
      <w:r w:rsidR="003349C5">
        <w:t xml:space="preserve"> </w:t>
      </w:r>
      <w:r w:rsidR="003A1FF7" w:rsidRPr="00A203AD">
        <w:rPr>
          <w:rFonts w:cs="Arial"/>
        </w:rPr>
        <w:t>24%</w:t>
      </w:r>
      <w:r w:rsidR="003A1FF7" w:rsidRPr="006169D0">
        <w:rPr>
          <w:rFonts w:cs="Arial"/>
        </w:rPr>
        <w:t xml:space="preserve"> unconditional and a 29% conditional</w:t>
      </w:r>
      <w:r w:rsidR="003A1FF7" w:rsidRPr="006169D0">
        <w:rPr>
          <w:rStyle w:val="Refdenotaalpie"/>
          <w:rFonts w:cs="Arial"/>
        </w:rPr>
        <w:footnoteReference w:id="24"/>
      </w:r>
      <w:r w:rsidRPr="00102605">
        <w:t xml:space="preserve"> reduction in CO2 emissions intensity per unit of GDP. Also, the country’s NDC sets specific goals for E-motion categories towards 2025: e-Buses (110 units), e-taxis (550 units) and electric light commercial vehicles (LCVs) (900 units), a network of electric vehicle charging stations throughout the main roads across Uruguay (52% completed in 2020), and a fast-charging network (no progress yet). However, these goals are part of a scenario conditional on access to international financing.</w:t>
      </w:r>
    </w:p>
    <w:p w14:paraId="09A94183" w14:textId="77777777" w:rsidR="00D07B6F" w:rsidRDefault="00D07B6F" w:rsidP="00D07B6F">
      <w:pPr>
        <w:spacing w:after="0" w:line="240" w:lineRule="auto"/>
      </w:pPr>
    </w:p>
    <w:p w14:paraId="3657B40E" w14:textId="77777777" w:rsidR="00A710BF" w:rsidRPr="00C74A1F" w:rsidRDefault="00A710BF" w:rsidP="00A710BF">
      <w:pPr>
        <w:spacing w:after="0" w:line="240" w:lineRule="auto"/>
        <w:rPr>
          <w:rFonts w:cs="Arial"/>
        </w:rPr>
      </w:pPr>
      <w:r w:rsidRPr="006169D0">
        <w:rPr>
          <w:rFonts w:cs="Arial"/>
        </w:rPr>
        <w:t>On 2017 Uruguay defined its National Climate Change Policy</w:t>
      </w:r>
      <w:r w:rsidRPr="00C74A1F">
        <w:rPr>
          <w:rFonts w:cs="Arial"/>
        </w:rPr>
        <w:t xml:space="preserve"> to promote adaptation and mitigation in the country, with a temporal horizon until 2050. Among the main lines of action, this Policy specifies the actions for the emission reduction in the transport systems by the quality and efficiency improvement, the use of vehicles with lower emission intensity per unit transported, increase the participation of electric, hybrid or other low carbon emission technologies, coordinate transport systems and territorial order planning and infrastructure design and the development of financial and legal instruments.</w:t>
      </w:r>
    </w:p>
    <w:p w14:paraId="15DE9BE3" w14:textId="77777777" w:rsidR="00A710BF" w:rsidRDefault="00A710BF" w:rsidP="00D07B6F">
      <w:pPr>
        <w:spacing w:after="0" w:line="240" w:lineRule="auto"/>
      </w:pPr>
    </w:p>
    <w:p w14:paraId="44D0871D" w14:textId="3D42FD75" w:rsidR="006029C5" w:rsidRDefault="006029C5" w:rsidP="00D07B6F">
      <w:pPr>
        <w:shd w:val="clear" w:color="auto" w:fill="FFFFFF" w:themeFill="background1"/>
        <w:spacing w:after="0" w:line="240" w:lineRule="auto"/>
      </w:pPr>
      <w:r w:rsidRPr="00102605">
        <w:t xml:space="preserve">In 2008, the Ministry of Energy and Mining (MIEM) introduced the Energy Policy, which includes the main energy strategies in the country. From a demand perspective, it seeks to promote energy efficiency in all sectors of national activity (industry, construction, transport, </w:t>
      </w:r>
      <w:proofErr w:type="spellStart"/>
      <w:r w:rsidRPr="00102605">
        <w:t>agro</w:t>
      </w:r>
      <w:proofErr w:type="spellEnd"/>
      <w:r w:rsidRPr="00102605">
        <w:t xml:space="preserve">, homes, etc.) and for all uses of energy (lighting, appliances, vehicles, etc.), driving a cultural change in relation to consumption habits, through the formal and informal education system. </w:t>
      </w:r>
    </w:p>
    <w:p w14:paraId="4E023431" w14:textId="77777777" w:rsidR="00D07B6F" w:rsidRPr="00102605" w:rsidRDefault="00D07B6F" w:rsidP="00D07B6F">
      <w:pPr>
        <w:shd w:val="clear" w:color="auto" w:fill="FFFFFF" w:themeFill="background1"/>
        <w:spacing w:after="0" w:line="240" w:lineRule="auto"/>
      </w:pPr>
    </w:p>
    <w:p w14:paraId="0EDC3C1B" w14:textId="4E86EF54" w:rsidR="006029C5" w:rsidRPr="004341CE" w:rsidRDefault="006029C5" w:rsidP="00D07B6F">
      <w:pPr>
        <w:shd w:val="clear" w:color="auto" w:fill="FFFFFF" w:themeFill="background1"/>
        <w:spacing w:after="0" w:line="240" w:lineRule="auto"/>
        <w:rPr>
          <w:rFonts w:cs="Arial"/>
        </w:rPr>
      </w:pPr>
      <w:r w:rsidRPr="00102605">
        <w:t xml:space="preserve">Concerning the transport </w:t>
      </w:r>
      <w:r w:rsidR="003F3E30" w:rsidRPr="00102605">
        <w:t>sector and</w:t>
      </w:r>
      <w:r w:rsidRPr="00102605">
        <w:t xml:space="preserve"> considering that this sector has been the country's main consumer of fossil resources, the policy states that it is necessary to seek the integration of the energy perspective into transport policies. The Energy Policy includes initiatives for the promotion of a more efficient and attractive urban and intercity public transport system and the introduction of hybrid and electric vehicles, the replacement of conventional vehicles by low or zero emission vehicles in freight transport and passenger transportation fleets, the promotion of efficient driving and tax adaptations to new technologies.‎</w:t>
      </w:r>
      <w:r w:rsidR="00820BF7" w:rsidRPr="00102605">
        <w:t xml:space="preserve"> The </w:t>
      </w:r>
      <w:r w:rsidR="00751159">
        <w:t>Urban</w:t>
      </w:r>
      <w:r w:rsidR="00751159" w:rsidRPr="00102605">
        <w:t xml:space="preserve"> </w:t>
      </w:r>
      <w:r w:rsidR="00820BF7" w:rsidRPr="00102605">
        <w:t>Sustainable Mobility Plan promotes a transition towards transport technologies with better energy efficiency.</w:t>
      </w:r>
      <w:r w:rsidR="004341CE">
        <w:t xml:space="preserve"> </w:t>
      </w:r>
      <w:r w:rsidR="004341CE" w:rsidRPr="00C74A1F">
        <w:rPr>
          <w:rFonts w:cs="Arial"/>
        </w:rPr>
        <w:t>The Agrofuels Law promotes a minimum requirement of nationally produced biodiesel and bioethanol in the gasoline and gasoil mixes supplied in the country for automotive use.</w:t>
      </w:r>
    </w:p>
    <w:p w14:paraId="1AEBDCC1" w14:textId="77777777" w:rsidR="00D07B6F" w:rsidRDefault="00D07B6F" w:rsidP="00D07B6F">
      <w:pPr>
        <w:shd w:val="clear" w:color="auto" w:fill="FFFFFF" w:themeFill="background1"/>
        <w:spacing w:after="0" w:line="240" w:lineRule="auto"/>
      </w:pPr>
    </w:p>
    <w:p w14:paraId="1C532C44" w14:textId="77777777" w:rsidR="00D50D43" w:rsidRPr="00102605" w:rsidRDefault="00D50D43" w:rsidP="00D07B6F">
      <w:pPr>
        <w:shd w:val="clear" w:color="auto" w:fill="FFFFFF" w:themeFill="background1"/>
        <w:spacing w:after="0" w:line="240" w:lineRule="auto"/>
      </w:pPr>
    </w:p>
    <w:p w14:paraId="31FA7FBF" w14:textId="674701F6" w:rsidR="006029C5" w:rsidRDefault="006029C5" w:rsidP="00D07B6F">
      <w:pPr>
        <w:shd w:val="clear" w:color="auto" w:fill="FFFFFF" w:themeFill="background1"/>
        <w:spacing w:after="0" w:line="240" w:lineRule="auto"/>
      </w:pPr>
      <w:r w:rsidRPr="00102605">
        <w:t xml:space="preserve">‎Approved in 2009, the Energy Efficiency </w:t>
      </w:r>
      <w:r w:rsidR="003F3E30" w:rsidRPr="00102605">
        <w:t>Law establishes</w:t>
      </w:r>
      <w:r w:rsidRPr="00102605">
        <w:t xml:space="preserve"> the efficient use of energy as </w:t>
      </w:r>
      <w:r w:rsidR="003F3E30" w:rsidRPr="00102605">
        <w:t>a matter</w:t>
      </w:r>
      <w:r w:rsidRPr="00102605">
        <w:t xml:space="preserve"> of National Interest, </w:t>
      </w:r>
      <w:r w:rsidR="003F3E30" w:rsidRPr="00102605">
        <w:t>to</w:t>
      </w:r>
      <w:r w:rsidRPr="00102605">
        <w:t xml:space="preserve"> contribute to the competitiveness of the economy, the sustainable development of the country and to reduce GHG emissions. It also states that the National Energy Efficiency Plan will include "the implementation of energy efficient use in the transport sector” as one of the criteria for ensuring energy savings.</w:t>
      </w:r>
    </w:p>
    <w:p w14:paraId="12F0E662" w14:textId="77777777" w:rsidR="001C0887" w:rsidRPr="00102605" w:rsidRDefault="001C0887" w:rsidP="00D07B6F">
      <w:pPr>
        <w:shd w:val="clear" w:color="auto" w:fill="FFFFFF" w:themeFill="background1"/>
        <w:spacing w:after="0" w:line="240" w:lineRule="auto"/>
      </w:pPr>
    </w:p>
    <w:p w14:paraId="7203951B" w14:textId="6580A5A9" w:rsidR="006029C5" w:rsidRDefault="006029C5" w:rsidP="00D07B6F">
      <w:pPr>
        <w:shd w:val="clear" w:color="auto" w:fill="FFFFFF" w:themeFill="background1"/>
        <w:spacing w:after="0" w:line="240" w:lineRule="auto"/>
      </w:pPr>
      <w:r w:rsidRPr="00102605">
        <w:t>It mentions that the DG establish minimum energy-efficiency requirements for new public transport means (already official), as well as in buildings and city lightening, following regionally established energy and environmental efficiency guidelines and standards.</w:t>
      </w:r>
    </w:p>
    <w:p w14:paraId="13604486" w14:textId="77777777" w:rsidR="00D07B6F" w:rsidRPr="00102605" w:rsidRDefault="00D07B6F" w:rsidP="00D07B6F">
      <w:pPr>
        <w:shd w:val="clear" w:color="auto" w:fill="FFFFFF" w:themeFill="background1"/>
        <w:spacing w:after="0" w:line="240" w:lineRule="auto"/>
      </w:pPr>
    </w:p>
    <w:p w14:paraId="40E0B602" w14:textId="1DFF8F03" w:rsidR="004E4C8E" w:rsidRDefault="006029C5" w:rsidP="00D07B6F">
      <w:pPr>
        <w:shd w:val="clear" w:color="auto" w:fill="FFFFFF" w:themeFill="background1"/>
        <w:spacing w:after="0" w:line="240" w:lineRule="auto"/>
      </w:pPr>
      <w:r w:rsidRPr="00102605">
        <w:t>Current generation composition is as follows (201</w:t>
      </w:r>
      <w:r w:rsidR="00A4436A">
        <w:t>9</w:t>
      </w:r>
      <w:r w:rsidRPr="00102605">
        <w:t>): 5</w:t>
      </w:r>
      <w:r w:rsidR="00184E5F">
        <w:t>5.6</w:t>
      </w:r>
      <w:r w:rsidRPr="00102605">
        <w:t xml:space="preserve">% hydro, </w:t>
      </w:r>
      <w:r w:rsidR="00EF100D">
        <w:t>2</w:t>
      </w:r>
      <w:r w:rsidRPr="00102605">
        <w:t xml:space="preserve">% thermal and </w:t>
      </w:r>
      <w:r w:rsidR="003B24B3">
        <w:t>42.4</w:t>
      </w:r>
      <w:r w:rsidRPr="00102605">
        <w:t xml:space="preserve">% renewable. Hydro plants </w:t>
      </w:r>
      <w:proofErr w:type="gramStart"/>
      <w:r w:rsidRPr="00102605">
        <w:t>are located in</w:t>
      </w:r>
      <w:proofErr w:type="gramEnd"/>
      <w:r w:rsidRPr="00102605">
        <w:t xml:space="preserve"> the north and </w:t>
      </w:r>
      <w:r w:rsidR="003F3E30" w:rsidRPr="00102605">
        <w:t>centre</w:t>
      </w:r>
      <w:r w:rsidRPr="00102605">
        <w:t xml:space="preserve"> of the country whereas thermal plants, originally conceived to cover peak demand (backup in the event of dry hydro conditions), are located in the south near Montevideo. Uruguay’s carbon grid factor is 0.</w:t>
      </w:r>
      <w:r w:rsidR="00353A0A" w:rsidRPr="00102605">
        <w:t>0</w:t>
      </w:r>
      <w:r w:rsidR="00353A0A">
        <w:t>13</w:t>
      </w:r>
      <w:r w:rsidR="00353A0A" w:rsidRPr="00102605">
        <w:t xml:space="preserve"> </w:t>
      </w:r>
      <w:r w:rsidRPr="00102605">
        <w:t xml:space="preserve">tCO2/MWh and is projected to </w:t>
      </w:r>
      <w:r w:rsidR="00D23A3F" w:rsidRPr="00102605">
        <w:t>de</w:t>
      </w:r>
      <w:r w:rsidRPr="00102605">
        <w:t>crease to 0.022 tCO2/MWh by 2030.</w:t>
      </w:r>
    </w:p>
    <w:p w14:paraId="5BEFF41C" w14:textId="77777777" w:rsidR="00D07B6F" w:rsidRPr="00102605" w:rsidRDefault="00D07B6F" w:rsidP="00D07B6F">
      <w:pPr>
        <w:shd w:val="clear" w:color="auto" w:fill="FFFFFF" w:themeFill="background1"/>
        <w:spacing w:after="0" w:line="240" w:lineRule="auto"/>
      </w:pPr>
    </w:p>
    <w:p w14:paraId="61BF635B" w14:textId="62C99F25" w:rsidR="005A3289" w:rsidRDefault="005A3289" w:rsidP="00E55DCC">
      <w:pPr>
        <w:pStyle w:val="Ttulo1"/>
        <w:numPr>
          <w:ilvl w:val="1"/>
          <w:numId w:val="1"/>
        </w:numPr>
        <w:spacing w:before="0" w:after="0" w:line="240" w:lineRule="auto"/>
        <w:ind w:left="567" w:hanging="567"/>
      </w:pPr>
      <w:bookmarkStart w:id="16" w:name="_Toc109749129"/>
      <w:bookmarkStart w:id="17" w:name="_Toc109749213"/>
      <w:bookmarkStart w:id="18" w:name="_Toc109751502"/>
      <w:bookmarkStart w:id="19" w:name="_Toc109751668"/>
      <w:bookmarkStart w:id="20" w:name="_Toc114152210"/>
      <w:bookmarkEnd w:id="16"/>
      <w:bookmarkEnd w:id="17"/>
      <w:bookmarkEnd w:id="18"/>
      <w:bookmarkEnd w:id="19"/>
      <w:r>
        <w:t>International context relating to EV Batteries</w:t>
      </w:r>
      <w:bookmarkEnd w:id="20"/>
    </w:p>
    <w:p w14:paraId="776A2252" w14:textId="77777777" w:rsidR="005A3289" w:rsidRDefault="005A3289" w:rsidP="005A3289">
      <w:pPr>
        <w:widowControl w:val="0"/>
        <w:tabs>
          <w:tab w:val="left" w:pos="720"/>
        </w:tabs>
        <w:autoSpaceDE w:val="0"/>
        <w:autoSpaceDN w:val="0"/>
        <w:spacing w:after="0" w:line="240" w:lineRule="auto"/>
        <w:ind w:right="-63"/>
      </w:pPr>
    </w:p>
    <w:p w14:paraId="3CF1393F" w14:textId="2E5DE7CB" w:rsidR="004F3EFA" w:rsidRDefault="005A3289" w:rsidP="004F3EFA">
      <w:pPr>
        <w:widowControl w:val="0"/>
        <w:tabs>
          <w:tab w:val="left" w:pos="720"/>
        </w:tabs>
        <w:autoSpaceDE w:val="0"/>
        <w:autoSpaceDN w:val="0"/>
        <w:spacing w:after="0" w:line="240" w:lineRule="auto"/>
        <w:ind w:right="-63"/>
      </w:pPr>
      <w:r>
        <w:t xml:space="preserve">In the target countries, the waste inventories do not include specifically lithium batteries and as such are not classified.  The United States classifies lithium batteries as non-hazardous waste (Universal Waste Rule). Nonetheless, the State of California does classify it as a hazardous waste due to the presence of cobalt. The European Union does not classify those wastes as hazardous either, as demonstrated in the excerpt of the waste listing included in Decision 2014/955/EU (wastes marked with * are considered hazardous). China, as in the previous cases, also </w:t>
      </w:r>
      <w:r w:rsidR="0013214A">
        <w:t>used to</w:t>
      </w:r>
      <w:r>
        <w:t xml:space="preserve"> </w:t>
      </w:r>
      <w:r w:rsidR="00D411B5">
        <w:t xml:space="preserve">classify </w:t>
      </w:r>
      <w:r>
        <w:t>them as non-hazardous</w:t>
      </w:r>
      <w:r>
        <w:rPr>
          <w:rStyle w:val="Refdenotaalpie"/>
        </w:rPr>
        <w:footnoteReference w:id="25"/>
      </w:r>
      <w:r>
        <w:t>.</w:t>
      </w:r>
      <w:r w:rsidR="004F3EFA">
        <w:t xml:space="preserve"> A new technical specification approved in 2021 started to implement pollution control for the treatment of waste power lithium-ion batteries from beginning of 2022 as a trial</w:t>
      </w:r>
      <w:r w:rsidR="004F3EFA">
        <w:rPr>
          <w:rStyle w:val="Refdenotaalpie"/>
        </w:rPr>
        <w:footnoteReference w:id="26"/>
      </w:r>
      <w:r w:rsidR="004F3EFA">
        <w:t xml:space="preserve">. It consists of a </w:t>
      </w:r>
      <w:r w:rsidR="004F3EFA" w:rsidRPr="00534812">
        <w:t xml:space="preserve">treatment process </w:t>
      </w:r>
      <w:r w:rsidR="004F3EFA">
        <w:t xml:space="preserve">including </w:t>
      </w:r>
      <w:r w:rsidR="004F3EFA" w:rsidRPr="00534812">
        <w:t xml:space="preserve">pollution control technical requirements, pollutant emission control </w:t>
      </w:r>
      <w:r w:rsidR="004F3EFA">
        <w:t xml:space="preserve">as well as related </w:t>
      </w:r>
      <w:r w:rsidR="004F3EFA" w:rsidRPr="00534812">
        <w:t>environmental monitoring and management requirements.</w:t>
      </w:r>
    </w:p>
    <w:p w14:paraId="7F79DFB9" w14:textId="77777777" w:rsidR="0008075C" w:rsidRDefault="0008075C" w:rsidP="005A3289">
      <w:pPr>
        <w:widowControl w:val="0"/>
        <w:tabs>
          <w:tab w:val="left" w:pos="720"/>
        </w:tabs>
        <w:autoSpaceDE w:val="0"/>
        <w:autoSpaceDN w:val="0"/>
        <w:spacing w:after="0" w:line="240" w:lineRule="auto"/>
        <w:ind w:right="-63"/>
      </w:pPr>
    </w:p>
    <w:p w14:paraId="4254A0F2" w14:textId="639215D5" w:rsidR="005A3289" w:rsidRDefault="005A3289" w:rsidP="005A3289">
      <w:pPr>
        <w:widowControl w:val="0"/>
        <w:tabs>
          <w:tab w:val="left" w:pos="720"/>
        </w:tabs>
        <w:autoSpaceDE w:val="0"/>
        <w:autoSpaceDN w:val="0"/>
        <w:spacing w:after="0" w:line="240" w:lineRule="auto"/>
        <w:ind w:right="-63"/>
      </w:pPr>
      <w:r w:rsidRPr="00116E1B">
        <w:t>Except from the EU waste listing of accumulators</w:t>
      </w:r>
      <w:r>
        <w:t>:</w:t>
      </w:r>
    </w:p>
    <w:p w14:paraId="7A054C2A" w14:textId="77777777" w:rsidR="004D36C2" w:rsidRDefault="004D36C2" w:rsidP="005A3289">
      <w:pPr>
        <w:widowControl w:val="0"/>
        <w:tabs>
          <w:tab w:val="left" w:pos="720"/>
        </w:tabs>
        <w:autoSpaceDE w:val="0"/>
        <w:autoSpaceDN w:val="0"/>
        <w:spacing w:after="0" w:line="240" w:lineRule="auto"/>
        <w:ind w:right="-63"/>
      </w:pPr>
    </w:p>
    <w:tbl>
      <w:tblPr>
        <w:tblStyle w:val="Tablaconcuadrcula"/>
        <w:tblW w:w="0" w:type="auto"/>
        <w:tblInd w:w="108" w:type="dxa"/>
        <w:tblLook w:val="04A0" w:firstRow="1" w:lastRow="0" w:firstColumn="1" w:lastColumn="0" w:noHBand="0" w:noVBand="1"/>
      </w:tblPr>
      <w:tblGrid>
        <w:gridCol w:w="1134"/>
        <w:gridCol w:w="7117"/>
      </w:tblGrid>
      <w:tr w:rsidR="005A3289" w14:paraId="1FBF638F" w14:textId="77777777" w:rsidTr="00A155C1">
        <w:tc>
          <w:tcPr>
            <w:tcW w:w="1134" w:type="dxa"/>
          </w:tcPr>
          <w:p w14:paraId="43AF2C85" w14:textId="77777777" w:rsidR="005A3289" w:rsidRDefault="005A3289" w:rsidP="00E55DCC">
            <w:pPr>
              <w:widowControl w:val="0"/>
              <w:tabs>
                <w:tab w:val="left" w:pos="720"/>
              </w:tabs>
              <w:autoSpaceDE w:val="0"/>
              <w:autoSpaceDN w:val="0"/>
              <w:ind w:right="-63"/>
              <w:jc w:val="center"/>
            </w:pPr>
            <w:r>
              <w:rPr>
                <w:b/>
                <w:bCs/>
                <w:sz w:val="20"/>
                <w:szCs w:val="20"/>
              </w:rPr>
              <w:t>Code</w:t>
            </w:r>
          </w:p>
        </w:tc>
        <w:tc>
          <w:tcPr>
            <w:tcW w:w="7117" w:type="dxa"/>
          </w:tcPr>
          <w:p w14:paraId="324BC488" w14:textId="77777777" w:rsidR="005A3289" w:rsidRDefault="005A3289" w:rsidP="00E55DCC">
            <w:pPr>
              <w:widowControl w:val="0"/>
              <w:tabs>
                <w:tab w:val="left" w:pos="720"/>
              </w:tabs>
              <w:autoSpaceDE w:val="0"/>
              <w:autoSpaceDN w:val="0"/>
              <w:ind w:right="-63"/>
              <w:jc w:val="center"/>
            </w:pPr>
            <w:r>
              <w:rPr>
                <w:b/>
                <w:bCs/>
                <w:sz w:val="20"/>
                <w:szCs w:val="20"/>
              </w:rPr>
              <w:t>Waste</w:t>
            </w:r>
          </w:p>
        </w:tc>
      </w:tr>
      <w:tr w:rsidR="005A3289" w14:paraId="263FC033" w14:textId="77777777" w:rsidTr="00A155C1">
        <w:tc>
          <w:tcPr>
            <w:tcW w:w="1134" w:type="dxa"/>
          </w:tcPr>
          <w:p w14:paraId="0C5B29BD"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1606 </w:t>
            </w:r>
          </w:p>
        </w:tc>
        <w:tc>
          <w:tcPr>
            <w:tcW w:w="7117" w:type="dxa"/>
          </w:tcPr>
          <w:p w14:paraId="205CE166"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Cells and accumulators </w:t>
            </w:r>
          </w:p>
        </w:tc>
      </w:tr>
      <w:tr w:rsidR="005A3289" w14:paraId="4EFDFD74" w14:textId="77777777" w:rsidTr="00A155C1">
        <w:tc>
          <w:tcPr>
            <w:tcW w:w="1134" w:type="dxa"/>
          </w:tcPr>
          <w:p w14:paraId="76BD3C91"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16 06 01* </w:t>
            </w:r>
          </w:p>
        </w:tc>
        <w:tc>
          <w:tcPr>
            <w:tcW w:w="7117" w:type="dxa"/>
          </w:tcPr>
          <w:p w14:paraId="54C970EC"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Lead batteries </w:t>
            </w:r>
          </w:p>
        </w:tc>
      </w:tr>
      <w:tr w:rsidR="005A3289" w14:paraId="434214AE" w14:textId="77777777" w:rsidTr="00A155C1">
        <w:tc>
          <w:tcPr>
            <w:tcW w:w="1134" w:type="dxa"/>
          </w:tcPr>
          <w:p w14:paraId="00F11E51"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16 06 02* </w:t>
            </w:r>
          </w:p>
        </w:tc>
        <w:tc>
          <w:tcPr>
            <w:tcW w:w="7117" w:type="dxa"/>
          </w:tcPr>
          <w:p w14:paraId="3D24AE5E"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Ni-Cd accumulators </w:t>
            </w:r>
          </w:p>
        </w:tc>
      </w:tr>
      <w:tr w:rsidR="005A3289" w14:paraId="6DE58BF9" w14:textId="77777777" w:rsidTr="00A155C1">
        <w:tc>
          <w:tcPr>
            <w:tcW w:w="1134" w:type="dxa"/>
          </w:tcPr>
          <w:p w14:paraId="592035EB"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16 06 05 </w:t>
            </w:r>
          </w:p>
        </w:tc>
        <w:tc>
          <w:tcPr>
            <w:tcW w:w="7117" w:type="dxa"/>
          </w:tcPr>
          <w:p w14:paraId="43C168FD" w14:textId="77777777" w:rsidR="005A3289" w:rsidRPr="00116E1B" w:rsidRDefault="005A3289" w:rsidP="00E55DCC">
            <w:pPr>
              <w:widowControl w:val="0"/>
              <w:tabs>
                <w:tab w:val="left" w:pos="720"/>
              </w:tabs>
              <w:autoSpaceDE w:val="0"/>
              <w:autoSpaceDN w:val="0"/>
              <w:ind w:right="-63"/>
              <w:rPr>
                <w:rFonts w:cs="Arial"/>
              </w:rPr>
            </w:pPr>
            <w:r w:rsidRPr="00116E1B">
              <w:rPr>
                <w:rFonts w:cs="Arial"/>
                <w:sz w:val="20"/>
                <w:szCs w:val="20"/>
              </w:rPr>
              <w:t xml:space="preserve">Other batteries and accumulators </w:t>
            </w:r>
          </w:p>
        </w:tc>
      </w:tr>
      <w:tr w:rsidR="005A3289" w14:paraId="09FEC6D5" w14:textId="77777777" w:rsidTr="00A155C1">
        <w:tc>
          <w:tcPr>
            <w:tcW w:w="1134" w:type="dxa"/>
          </w:tcPr>
          <w:p w14:paraId="1A37B609" w14:textId="77777777" w:rsidR="005A3289" w:rsidRPr="00116E1B" w:rsidRDefault="005A3289" w:rsidP="00E55DCC">
            <w:pPr>
              <w:pStyle w:val="Default"/>
              <w:jc w:val="both"/>
              <w:rPr>
                <w:rFonts w:ascii="Arial" w:hAnsi="Arial" w:cs="Arial"/>
                <w:sz w:val="20"/>
                <w:szCs w:val="20"/>
              </w:rPr>
            </w:pPr>
            <w:r w:rsidRPr="00116E1B">
              <w:rPr>
                <w:rFonts w:ascii="Arial" w:hAnsi="Arial" w:cs="Arial"/>
                <w:sz w:val="20"/>
                <w:szCs w:val="20"/>
              </w:rPr>
              <w:t xml:space="preserve">16 06 06* </w:t>
            </w:r>
          </w:p>
        </w:tc>
        <w:tc>
          <w:tcPr>
            <w:tcW w:w="7117" w:type="dxa"/>
          </w:tcPr>
          <w:p w14:paraId="664F445E" w14:textId="77777777" w:rsidR="005A3289" w:rsidRPr="00116E1B" w:rsidRDefault="005A3289" w:rsidP="00E55DCC">
            <w:pPr>
              <w:widowControl w:val="0"/>
              <w:tabs>
                <w:tab w:val="left" w:pos="720"/>
              </w:tabs>
              <w:autoSpaceDE w:val="0"/>
              <w:autoSpaceDN w:val="0"/>
              <w:ind w:right="-63"/>
              <w:rPr>
                <w:rFonts w:cs="Arial"/>
                <w:sz w:val="20"/>
                <w:szCs w:val="20"/>
              </w:rPr>
            </w:pPr>
            <w:r w:rsidRPr="00116E1B">
              <w:rPr>
                <w:rFonts w:cs="Arial"/>
                <w:sz w:val="20"/>
                <w:szCs w:val="20"/>
              </w:rPr>
              <w:t xml:space="preserve">Cells and </w:t>
            </w:r>
            <w:proofErr w:type="gramStart"/>
            <w:r w:rsidRPr="00116E1B">
              <w:rPr>
                <w:rFonts w:cs="Arial"/>
                <w:sz w:val="20"/>
                <w:szCs w:val="20"/>
              </w:rPr>
              <w:t>accumulators</w:t>
            </w:r>
            <w:proofErr w:type="gramEnd"/>
            <w:r w:rsidRPr="00116E1B">
              <w:rPr>
                <w:rFonts w:cs="Arial"/>
                <w:sz w:val="20"/>
                <w:szCs w:val="20"/>
              </w:rPr>
              <w:t xml:space="preserve"> electrolytes selectively collected </w:t>
            </w:r>
          </w:p>
        </w:tc>
      </w:tr>
      <w:tr w:rsidR="005A3289" w14:paraId="7B68C5D3" w14:textId="77777777" w:rsidTr="00A155C1">
        <w:tc>
          <w:tcPr>
            <w:tcW w:w="1134" w:type="dxa"/>
          </w:tcPr>
          <w:p w14:paraId="0E1E9673" w14:textId="77777777" w:rsidR="005A3289" w:rsidRPr="00116E1B" w:rsidRDefault="005A3289" w:rsidP="00E55DCC">
            <w:pPr>
              <w:widowControl w:val="0"/>
              <w:tabs>
                <w:tab w:val="left" w:pos="720"/>
              </w:tabs>
              <w:autoSpaceDE w:val="0"/>
              <w:autoSpaceDN w:val="0"/>
              <w:ind w:right="-63"/>
              <w:rPr>
                <w:rFonts w:cs="Arial"/>
                <w:sz w:val="20"/>
                <w:szCs w:val="20"/>
              </w:rPr>
            </w:pPr>
            <w:r w:rsidRPr="00116E1B">
              <w:rPr>
                <w:rFonts w:cs="Arial"/>
                <w:sz w:val="20"/>
                <w:szCs w:val="20"/>
              </w:rPr>
              <w:t xml:space="preserve">20 01 33* </w:t>
            </w:r>
          </w:p>
        </w:tc>
        <w:tc>
          <w:tcPr>
            <w:tcW w:w="7117" w:type="dxa"/>
          </w:tcPr>
          <w:p w14:paraId="467E6EAD" w14:textId="77777777" w:rsidR="005A3289" w:rsidRPr="00E139E3" w:rsidRDefault="005A3289" w:rsidP="00E55DCC">
            <w:pPr>
              <w:widowControl w:val="0"/>
              <w:tabs>
                <w:tab w:val="left" w:pos="720"/>
              </w:tabs>
              <w:autoSpaceDE w:val="0"/>
              <w:autoSpaceDN w:val="0"/>
              <w:ind w:right="-63"/>
              <w:rPr>
                <w:rFonts w:cs="Arial"/>
                <w:sz w:val="20"/>
                <w:szCs w:val="20"/>
              </w:rPr>
            </w:pPr>
            <w:r w:rsidRPr="00116E1B">
              <w:rPr>
                <w:rFonts w:cs="Arial"/>
                <w:sz w:val="20"/>
                <w:szCs w:val="20"/>
              </w:rPr>
              <w:t xml:space="preserve">Batteries and accumulators specified in codes 16 06 01, 16 06 02 o 16 06 03, and batteries and accumulators without classification containing those batteries </w:t>
            </w:r>
          </w:p>
        </w:tc>
      </w:tr>
      <w:tr w:rsidR="005A3289" w14:paraId="6A10A3D9" w14:textId="77777777" w:rsidTr="00A155C1">
        <w:tc>
          <w:tcPr>
            <w:tcW w:w="1134" w:type="dxa"/>
          </w:tcPr>
          <w:p w14:paraId="7D7A2DD4" w14:textId="77777777" w:rsidR="005A3289" w:rsidRPr="00116E1B" w:rsidRDefault="005A3289" w:rsidP="00E55DCC">
            <w:pPr>
              <w:widowControl w:val="0"/>
              <w:tabs>
                <w:tab w:val="left" w:pos="720"/>
              </w:tabs>
              <w:autoSpaceDE w:val="0"/>
              <w:autoSpaceDN w:val="0"/>
              <w:ind w:right="-63"/>
              <w:rPr>
                <w:rFonts w:cs="Arial"/>
                <w:sz w:val="20"/>
                <w:szCs w:val="20"/>
              </w:rPr>
            </w:pPr>
            <w:r w:rsidRPr="00116E1B">
              <w:rPr>
                <w:rFonts w:cs="Arial"/>
                <w:sz w:val="20"/>
                <w:szCs w:val="20"/>
              </w:rPr>
              <w:t xml:space="preserve">20 01 34 </w:t>
            </w:r>
          </w:p>
        </w:tc>
        <w:tc>
          <w:tcPr>
            <w:tcW w:w="7117" w:type="dxa"/>
          </w:tcPr>
          <w:p w14:paraId="533D19B9" w14:textId="77777777" w:rsidR="005A3289" w:rsidRPr="00E139E3" w:rsidRDefault="005A3289" w:rsidP="00E55DCC">
            <w:pPr>
              <w:widowControl w:val="0"/>
              <w:tabs>
                <w:tab w:val="left" w:pos="720"/>
              </w:tabs>
              <w:autoSpaceDE w:val="0"/>
              <w:autoSpaceDN w:val="0"/>
              <w:ind w:right="-63"/>
              <w:rPr>
                <w:rFonts w:cs="Arial"/>
                <w:sz w:val="20"/>
                <w:szCs w:val="20"/>
              </w:rPr>
            </w:pPr>
            <w:r w:rsidRPr="00116E1B">
              <w:rPr>
                <w:rFonts w:cs="Arial"/>
                <w:sz w:val="20"/>
                <w:szCs w:val="20"/>
              </w:rPr>
              <w:t xml:space="preserve">Batteries and accumulators other than those specified in Code 20 01 33 </w:t>
            </w:r>
          </w:p>
        </w:tc>
      </w:tr>
    </w:tbl>
    <w:p w14:paraId="1B6AAD47" w14:textId="77777777" w:rsidR="005A3289" w:rsidRPr="009D62E0" w:rsidRDefault="005A3289" w:rsidP="005A3289">
      <w:pPr>
        <w:widowControl w:val="0"/>
        <w:tabs>
          <w:tab w:val="left" w:pos="720"/>
        </w:tabs>
        <w:autoSpaceDE w:val="0"/>
        <w:autoSpaceDN w:val="0"/>
        <w:spacing w:after="0" w:line="240" w:lineRule="auto"/>
        <w:ind w:right="-63"/>
        <w:rPr>
          <w:sz w:val="20"/>
          <w:szCs w:val="20"/>
        </w:rPr>
      </w:pPr>
      <w:r w:rsidRPr="009D62E0">
        <w:rPr>
          <w:sz w:val="20"/>
          <w:szCs w:val="20"/>
        </w:rPr>
        <w:t>Source: EU, 2014</w:t>
      </w:r>
      <w:r w:rsidRPr="009D62E0">
        <w:rPr>
          <w:rStyle w:val="Refdenotaalpie"/>
          <w:sz w:val="20"/>
          <w:szCs w:val="20"/>
        </w:rPr>
        <w:footnoteReference w:id="27"/>
      </w:r>
    </w:p>
    <w:p w14:paraId="68B38BE6" w14:textId="77777777" w:rsidR="00576E50" w:rsidRDefault="00576E50" w:rsidP="005A3289">
      <w:pPr>
        <w:widowControl w:val="0"/>
        <w:tabs>
          <w:tab w:val="left" w:pos="720"/>
        </w:tabs>
        <w:autoSpaceDE w:val="0"/>
        <w:autoSpaceDN w:val="0"/>
        <w:spacing w:after="0" w:line="240" w:lineRule="auto"/>
        <w:ind w:right="-63"/>
      </w:pPr>
    </w:p>
    <w:p w14:paraId="5139D40E" w14:textId="77777777" w:rsidR="00D50D43" w:rsidRDefault="00D50D43" w:rsidP="005A3289">
      <w:pPr>
        <w:widowControl w:val="0"/>
        <w:tabs>
          <w:tab w:val="left" w:pos="720"/>
        </w:tabs>
        <w:autoSpaceDE w:val="0"/>
        <w:autoSpaceDN w:val="0"/>
        <w:spacing w:after="0" w:line="240" w:lineRule="auto"/>
        <w:ind w:right="-63"/>
      </w:pPr>
    </w:p>
    <w:p w14:paraId="44FC587B" w14:textId="120074AD" w:rsidR="005A3289" w:rsidRDefault="005A3289" w:rsidP="005A3289">
      <w:pPr>
        <w:widowControl w:val="0"/>
        <w:tabs>
          <w:tab w:val="left" w:pos="720"/>
        </w:tabs>
        <w:autoSpaceDE w:val="0"/>
        <w:autoSpaceDN w:val="0"/>
        <w:spacing w:after="0" w:line="240" w:lineRule="auto"/>
        <w:ind w:right="-63"/>
      </w:pPr>
      <w:r w:rsidRPr="00116E1B">
        <w:t>Nevertheless, the final disposition in a sanitary landfill is not considered adequate due to lixiviation potential of the organic electrolytes and to the presence of metals such as copper and nickel, among others.</w:t>
      </w:r>
      <w:r w:rsidR="00910FF3">
        <w:t xml:space="preserve"> Electrical Vehicle (EV) </w:t>
      </w:r>
      <w:r w:rsidR="00910FF3" w:rsidRPr="00143368">
        <w:t xml:space="preserve">batteries may be comprised of lithium-ion phosphate, </w:t>
      </w:r>
      <w:proofErr w:type="gramStart"/>
      <w:r w:rsidR="00910FF3" w:rsidRPr="00143368">
        <w:t>lithium</w:t>
      </w:r>
      <w:proofErr w:type="gramEnd"/>
      <w:r w:rsidR="00910FF3" w:rsidRPr="00143368">
        <w:t xml:space="preserve"> and manganese oxide, among others. </w:t>
      </w:r>
      <w:r w:rsidR="00910FF3">
        <w:t>Even though there are several battery typologies for electric vehicles, these are being replaced by lithium batteries because are considered less hazardous. Lithium batteries (LIB) are made of several lithium ion cells and peripheral components such as cables, casing, connectors, and electronic components made of copper, aluminium, steel, and plastic. Peripheral components usually represent around 50% of the battery’s weight.</w:t>
      </w:r>
    </w:p>
    <w:p w14:paraId="1FDB37D5" w14:textId="77777777" w:rsidR="005A3289" w:rsidRDefault="005A3289" w:rsidP="005A3289">
      <w:pPr>
        <w:widowControl w:val="0"/>
        <w:tabs>
          <w:tab w:val="left" w:pos="720"/>
        </w:tabs>
        <w:autoSpaceDE w:val="0"/>
        <w:autoSpaceDN w:val="0"/>
        <w:spacing w:after="0" w:line="240" w:lineRule="auto"/>
        <w:ind w:right="-63"/>
      </w:pPr>
    </w:p>
    <w:p w14:paraId="37F9B55B" w14:textId="77777777" w:rsidR="005A3289" w:rsidRDefault="005A3289" w:rsidP="005A3289">
      <w:pPr>
        <w:widowControl w:val="0"/>
        <w:tabs>
          <w:tab w:val="left" w:pos="720"/>
        </w:tabs>
        <w:autoSpaceDE w:val="0"/>
        <w:autoSpaceDN w:val="0"/>
        <w:spacing w:after="0" w:line="240" w:lineRule="auto"/>
        <w:ind w:right="-63"/>
      </w:pPr>
      <w:r>
        <w:t>On the other hand, the United Nations Model Regulations for the Transport of Dangerous Goods places lithium batteries under Class 9 of Miscellaneous dangerous substances and goods, including substances dangerous to the environment. The following chart presents the United Nations (UN) codes for each lithium battery typology. (17) (18)</w:t>
      </w:r>
    </w:p>
    <w:p w14:paraId="01AF28C6" w14:textId="77777777" w:rsidR="005A3289" w:rsidRDefault="005A3289" w:rsidP="005A3289">
      <w:pPr>
        <w:widowControl w:val="0"/>
        <w:tabs>
          <w:tab w:val="left" w:pos="720"/>
        </w:tabs>
        <w:autoSpaceDE w:val="0"/>
        <w:autoSpaceDN w:val="0"/>
        <w:spacing w:after="0" w:line="240" w:lineRule="auto"/>
        <w:ind w:right="-63"/>
      </w:pPr>
    </w:p>
    <w:p w14:paraId="37BBD6B2" w14:textId="77777777" w:rsidR="005A3289" w:rsidRDefault="005A3289" w:rsidP="005A3289">
      <w:pPr>
        <w:widowControl w:val="0"/>
        <w:tabs>
          <w:tab w:val="left" w:pos="720"/>
        </w:tabs>
        <w:autoSpaceDE w:val="0"/>
        <w:autoSpaceDN w:val="0"/>
        <w:spacing w:after="0" w:line="240" w:lineRule="auto"/>
        <w:ind w:right="-63"/>
      </w:pPr>
      <w:r>
        <w:t>Chart 3 UN Codes for dangerous goods transport:</w:t>
      </w:r>
    </w:p>
    <w:tbl>
      <w:tblPr>
        <w:tblStyle w:val="Tablaconcuadrcula"/>
        <w:tblW w:w="0" w:type="auto"/>
        <w:tblInd w:w="108" w:type="dxa"/>
        <w:tblLook w:val="04A0" w:firstRow="1" w:lastRow="0" w:firstColumn="1" w:lastColumn="0" w:noHBand="0" w:noVBand="1"/>
      </w:tblPr>
      <w:tblGrid>
        <w:gridCol w:w="1021"/>
        <w:gridCol w:w="7513"/>
      </w:tblGrid>
      <w:tr w:rsidR="005A3289" w14:paraId="78529BB5" w14:textId="77777777" w:rsidTr="007E2138">
        <w:tc>
          <w:tcPr>
            <w:tcW w:w="1021" w:type="dxa"/>
          </w:tcPr>
          <w:p w14:paraId="3C284F4C" w14:textId="77777777" w:rsidR="005A3289" w:rsidRDefault="005A3289" w:rsidP="00E55DCC">
            <w:pPr>
              <w:widowControl w:val="0"/>
              <w:tabs>
                <w:tab w:val="left" w:pos="720"/>
              </w:tabs>
              <w:autoSpaceDE w:val="0"/>
              <w:autoSpaceDN w:val="0"/>
              <w:ind w:right="-63"/>
              <w:jc w:val="center"/>
            </w:pPr>
            <w:r>
              <w:rPr>
                <w:b/>
                <w:bCs/>
                <w:sz w:val="20"/>
                <w:szCs w:val="20"/>
              </w:rPr>
              <w:t>UN Code</w:t>
            </w:r>
          </w:p>
        </w:tc>
        <w:tc>
          <w:tcPr>
            <w:tcW w:w="7513" w:type="dxa"/>
          </w:tcPr>
          <w:p w14:paraId="7176DEEA" w14:textId="77777777" w:rsidR="005A3289" w:rsidRDefault="005A3289" w:rsidP="00E55DCC">
            <w:pPr>
              <w:widowControl w:val="0"/>
              <w:tabs>
                <w:tab w:val="left" w:pos="720"/>
              </w:tabs>
              <w:autoSpaceDE w:val="0"/>
              <w:autoSpaceDN w:val="0"/>
              <w:ind w:right="-63"/>
              <w:jc w:val="center"/>
            </w:pPr>
            <w:r>
              <w:rPr>
                <w:b/>
                <w:bCs/>
                <w:sz w:val="20"/>
                <w:szCs w:val="20"/>
              </w:rPr>
              <w:t>Good</w:t>
            </w:r>
          </w:p>
        </w:tc>
      </w:tr>
      <w:tr w:rsidR="005A3289" w14:paraId="1E0AE51D" w14:textId="77777777" w:rsidTr="007E2138">
        <w:tc>
          <w:tcPr>
            <w:tcW w:w="1021" w:type="dxa"/>
          </w:tcPr>
          <w:p w14:paraId="142C73C1" w14:textId="77777777" w:rsidR="005A3289" w:rsidRDefault="005A3289" w:rsidP="00E55DCC">
            <w:pPr>
              <w:widowControl w:val="0"/>
              <w:tabs>
                <w:tab w:val="left" w:pos="720"/>
              </w:tabs>
              <w:autoSpaceDE w:val="0"/>
              <w:autoSpaceDN w:val="0"/>
              <w:ind w:right="-63"/>
            </w:pPr>
            <w:r>
              <w:rPr>
                <w:sz w:val="20"/>
                <w:szCs w:val="20"/>
              </w:rPr>
              <w:t xml:space="preserve">3090 </w:t>
            </w:r>
          </w:p>
        </w:tc>
        <w:tc>
          <w:tcPr>
            <w:tcW w:w="7513" w:type="dxa"/>
          </w:tcPr>
          <w:p w14:paraId="0861767A" w14:textId="77777777" w:rsidR="005A3289" w:rsidRDefault="005A3289" w:rsidP="00E55DCC">
            <w:pPr>
              <w:widowControl w:val="0"/>
              <w:tabs>
                <w:tab w:val="left" w:pos="720"/>
              </w:tabs>
              <w:autoSpaceDE w:val="0"/>
              <w:autoSpaceDN w:val="0"/>
              <w:ind w:right="-63"/>
            </w:pPr>
            <w:r>
              <w:rPr>
                <w:sz w:val="20"/>
                <w:szCs w:val="20"/>
              </w:rPr>
              <w:t xml:space="preserve">Lithium metal batteries (including lithium alloy batteries) </w:t>
            </w:r>
          </w:p>
        </w:tc>
      </w:tr>
      <w:tr w:rsidR="005A3289" w14:paraId="6BB22B33" w14:textId="77777777" w:rsidTr="007E2138">
        <w:tc>
          <w:tcPr>
            <w:tcW w:w="1021" w:type="dxa"/>
          </w:tcPr>
          <w:p w14:paraId="23044541" w14:textId="77777777" w:rsidR="005A3289" w:rsidRDefault="005A3289" w:rsidP="00E55DCC">
            <w:pPr>
              <w:widowControl w:val="0"/>
              <w:tabs>
                <w:tab w:val="left" w:pos="720"/>
              </w:tabs>
              <w:autoSpaceDE w:val="0"/>
              <w:autoSpaceDN w:val="0"/>
              <w:ind w:right="-63"/>
            </w:pPr>
            <w:r>
              <w:rPr>
                <w:sz w:val="20"/>
                <w:szCs w:val="20"/>
              </w:rPr>
              <w:t xml:space="preserve">3091 </w:t>
            </w:r>
          </w:p>
        </w:tc>
        <w:tc>
          <w:tcPr>
            <w:tcW w:w="7513" w:type="dxa"/>
          </w:tcPr>
          <w:p w14:paraId="75E19F88" w14:textId="77777777" w:rsidR="005A3289" w:rsidRDefault="005A3289" w:rsidP="00E55DCC">
            <w:pPr>
              <w:widowControl w:val="0"/>
              <w:tabs>
                <w:tab w:val="left" w:pos="720"/>
              </w:tabs>
              <w:autoSpaceDE w:val="0"/>
              <w:autoSpaceDN w:val="0"/>
              <w:ind w:right="-63"/>
            </w:pPr>
            <w:r>
              <w:rPr>
                <w:sz w:val="20"/>
                <w:szCs w:val="20"/>
              </w:rPr>
              <w:t xml:space="preserve">Lithium metal batteries installed in equipment (including lithium alloy batteries) </w:t>
            </w:r>
          </w:p>
        </w:tc>
      </w:tr>
      <w:tr w:rsidR="005A3289" w14:paraId="2A5AAE41" w14:textId="77777777" w:rsidTr="007E2138">
        <w:tc>
          <w:tcPr>
            <w:tcW w:w="1021" w:type="dxa"/>
          </w:tcPr>
          <w:p w14:paraId="2D303B0A" w14:textId="77777777" w:rsidR="005A3289" w:rsidRDefault="005A3289" w:rsidP="00E55DCC">
            <w:pPr>
              <w:widowControl w:val="0"/>
              <w:tabs>
                <w:tab w:val="left" w:pos="720"/>
              </w:tabs>
              <w:autoSpaceDE w:val="0"/>
              <w:autoSpaceDN w:val="0"/>
              <w:ind w:right="-63"/>
            </w:pPr>
            <w:r>
              <w:rPr>
                <w:sz w:val="20"/>
                <w:szCs w:val="20"/>
              </w:rPr>
              <w:t xml:space="preserve">3091 </w:t>
            </w:r>
          </w:p>
        </w:tc>
        <w:tc>
          <w:tcPr>
            <w:tcW w:w="7513" w:type="dxa"/>
          </w:tcPr>
          <w:p w14:paraId="2E55BDAF" w14:textId="77777777" w:rsidR="005A3289" w:rsidRDefault="005A3289" w:rsidP="00E55DCC">
            <w:pPr>
              <w:widowControl w:val="0"/>
              <w:tabs>
                <w:tab w:val="left" w:pos="720"/>
              </w:tabs>
              <w:autoSpaceDE w:val="0"/>
              <w:autoSpaceDN w:val="0"/>
              <w:ind w:right="-63"/>
            </w:pPr>
            <w:r>
              <w:rPr>
                <w:sz w:val="20"/>
                <w:szCs w:val="20"/>
              </w:rPr>
              <w:t xml:space="preserve">Lithium metal batteries packed with an equipment (including lithium alloy batteries) </w:t>
            </w:r>
          </w:p>
        </w:tc>
      </w:tr>
      <w:tr w:rsidR="005A3289" w14:paraId="612C8359" w14:textId="77777777" w:rsidTr="007E2138">
        <w:tc>
          <w:tcPr>
            <w:tcW w:w="1021" w:type="dxa"/>
          </w:tcPr>
          <w:p w14:paraId="73DBB89F" w14:textId="77777777" w:rsidR="005A3289" w:rsidRDefault="005A3289" w:rsidP="00E55DCC">
            <w:pPr>
              <w:widowControl w:val="0"/>
              <w:tabs>
                <w:tab w:val="left" w:pos="720"/>
              </w:tabs>
              <w:autoSpaceDE w:val="0"/>
              <w:autoSpaceDN w:val="0"/>
              <w:ind w:right="-63"/>
            </w:pPr>
            <w:r>
              <w:rPr>
                <w:sz w:val="20"/>
                <w:szCs w:val="20"/>
              </w:rPr>
              <w:t xml:space="preserve">3480 </w:t>
            </w:r>
          </w:p>
        </w:tc>
        <w:tc>
          <w:tcPr>
            <w:tcW w:w="7513" w:type="dxa"/>
          </w:tcPr>
          <w:p w14:paraId="4F4690C4" w14:textId="1F6C6525" w:rsidR="005A3289" w:rsidRDefault="00A155C1" w:rsidP="00E55DCC">
            <w:pPr>
              <w:widowControl w:val="0"/>
              <w:tabs>
                <w:tab w:val="left" w:pos="720"/>
              </w:tabs>
              <w:autoSpaceDE w:val="0"/>
              <w:autoSpaceDN w:val="0"/>
              <w:ind w:right="-63"/>
            </w:pPr>
            <w:r>
              <w:rPr>
                <w:sz w:val="20"/>
                <w:szCs w:val="20"/>
              </w:rPr>
              <w:t>Lithium-ion</w:t>
            </w:r>
            <w:r w:rsidR="005A3289">
              <w:rPr>
                <w:sz w:val="20"/>
                <w:szCs w:val="20"/>
              </w:rPr>
              <w:t xml:space="preserve"> batteries (including </w:t>
            </w:r>
            <w:r>
              <w:rPr>
                <w:sz w:val="20"/>
                <w:szCs w:val="20"/>
              </w:rPr>
              <w:t>lithium-ion</w:t>
            </w:r>
            <w:r w:rsidR="005A3289">
              <w:rPr>
                <w:sz w:val="20"/>
                <w:szCs w:val="20"/>
              </w:rPr>
              <w:t xml:space="preserve"> polymer batteries) </w:t>
            </w:r>
          </w:p>
        </w:tc>
      </w:tr>
      <w:tr w:rsidR="005A3289" w14:paraId="0485B169" w14:textId="77777777" w:rsidTr="007E2138">
        <w:tc>
          <w:tcPr>
            <w:tcW w:w="1021" w:type="dxa"/>
          </w:tcPr>
          <w:p w14:paraId="03B7C680" w14:textId="77777777" w:rsidR="005A3289" w:rsidRDefault="005A3289" w:rsidP="00E55DCC">
            <w:pPr>
              <w:widowControl w:val="0"/>
              <w:tabs>
                <w:tab w:val="left" w:pos="720"/>
              </w:tabs>
              <w:autoSpaceDE w:val="0"/>
              <w:autoSpaceDN w:val="0"/>
              <w:ind w:right="-63"/>
            </w:pPr>
            <w:r>
              <w:rPr>
                <w:sz w:val="20"/>
                <w:szCs w:val="20"/>
              </w:rPr>
              <w:t xml:space="preserve">3481 </w:t>
            </w:r>
          </w:p>
        </w:tc>
        <w:tc>
          <w:tcPr>
            <w:tcW w:w="7513" w:type="dxa"/>
          </w:tcPr>
          <w:p w14:paraId="3C46D5D2" w14:textId="6408D137" w:rsidR="005A3289" w:rsidRDefault="00A155C1" w:rsidP="00E55DCC">
            <w:pPr>
              <w:widowControl w:val="0"/>
              <w:tabs>
                <w:tab w:val="left" w:pos="720"/>
              </w:tabs>
              <w:autoSpaceDE w:val="0"/>
              <w:autoSpaceDN w:val="0"/>
              <w:ind w:right="-63"/>
            </w:pPr>
            <w:r>
              <w:rPr>
                <w:sz w:val="20"/>
                <w:szCs w:val="20"/>
              </w:rPr>
              <w:t>Lithium-ion</w:t>
            </w:r>
            <w:r w:rsidR="005A3289">
              <w:rPr>
                <w:sz w:val="20"/>
                <w:szCs w:val="20"/>
              </w:rPr>
              <w:t xml:space="preserve"> batteries installed in equipment (including </w:t>
            </w:r>
            <w:r>
              <w:rPr>
                <w:sz w:val="20"/>
                <w:szCs w:val="20"/>
              </w:rPr>
              <w:t>lithium-ion</w:t>
            </w:r>
            <w:r w:rsidR="005A3289">
              <w:rPr>
                <w:sz w:val="20"/>
                <w:szCs w:val="20"/>
              </w:rPr>
              <w:t xml:space="preserve"> polymer batteries) </w:t>
            </w:r>
          </w:p>
        </w:tc>
      </w:tr>
      <w:tr w:rsidR="005A3289" w14:paraId="45134E95" w14:textId="77777777" w:rsidTr="007E2138">
        <w:tc>
          <w:tcPr>
            <w:tcW w:w="1021" w:type="dxa"/>
          </w:tcPr>
          <w:p w14:paraId="17F3ADA3" w14:textId="77777777" w:rsidR="005A3289" w:rsidRDefault="005A3289" w:rsidP="00E55DCC">
            <w:pPr>
              <w:widowControl w:val="0"/>
              <w:tabs>
                <w:tab w:val="left" w:pos="720"/>
              </w:tabs>
              <w:autoSpaceDE w:val="0"/>
              <w:autoSpaceDN w:val="0"/>
              <w:ind w:right="-63"/>
            </w:pPr>
            <w:r>
              <w:rPr>
                <w:sz w:val="20"/>
                <w:szCs w:val="20"/>
              </w:rPr>
              <w:t xml:space="preserve">3481 </w:t>
            </w:r>
          </w:p>
        </w:tc>
        <w:tc>
          <w:tcPr>
            <w:tcW w:w="7513" w:type="dxa"/>
          </w:tcPr>
          <w:p w14:paraId="7A590B4C" w14:textId="1F098627" w:rsidR="005A3289" w:rsidRDefault="00A155C1" w:rsidP="00E55DCC">
            <w:pPr>
              <w:widowControl w:val="0"/>
              <w:tabs>
                <w:tab w:val="left" w:pos="720"/>
              </w:tabs>
              <w:autoSpaceDE w:val="0"/>
              <w:autoSpaceDN w:val="0"/>
              <w:ind w:right="-63"/>
            </w:pPr>
            <w:r>
              <w:rPr>
                <w:sz w:val="20"/>
                <w:szCs w:val="20"/>
              </w:rPr>
              <w:t>Lithium-ion</w:t>
            </w:r>
            <w:r w:rsidR="005A3289">
              <w:rPr>
                <w:sz w:val="20"/>
                <w:szCs w:val="20"/>
              </w:rPr>
              <w:t xml:space="preserve"> batteries packed with an equipment (including </w:t>
            </w:r>
            <w:r>
              <w:rPr>
                <w:sz w:val="20"/>
                <w:szCs w:val="20"/>
              </w:rPr>
              <w:t>lithium-ion</w:t>
            </w:r>
            <w:r w:rsidR="005A3289">
              <w:rPr>
                <w:sz w:val="20"/>
                <w:szCs w:val="20"/>
              </w:rPr>
              <w:t xml:space="preserve"> polymer batteries) </w:t>
            </w:r>
          </w:p>
        </w:tc>
      </w:tr>
    </w:tbl>
    <w:p w14:paraId="10BA7A3B" w14:textId="77777777" w:rsidR="005A3289" w:rsidRPr="009D62E0" w:rsidRDefault="005A3289" w:rsidP="005A3289">
      <w:pPr>
        <w:widowControl w:val="0"/>
        <w:tabs>
          <w:tab w:val="left" w:pos="720"/>
        </w:tabs>
        <w:autoSpaceDE w:val="0"/>
        <w:autoSpaceDN w:val="0"/>
        <w:spacing w:after="0" w:line="240" w:lineRule="auto"/>
        <w:ind w:right="-63"/>
        <w:rPr>
          <w:sz w:val="20"/>
          <w:szCs w:val="20"/>
        </w:rPr>
      </w:pPr>
      <w:r w:rsidRPr="009D62E0">
        <w:rPr>
          <w:sz w:val="20"/>
          <w:szCs w:val="20"/>
        </w:rPr>
        <w:t>Source: UN, 2009</w:t>
      </w:r>
      <w:r w:rsidRPr="009D62E0">
        <w:rPr>
          <w:rStyle w:val="Refdenotaalpie"/>
          <w:sz w:val="20"/>
          <w:szCs w:val="20"/>
        </w:rPr>
        <w:footnoteReference w:id="28"/>
      </w:r>
    </w:p>
    <w:p w14:paraId="79FA7CCE" w14:textId="09D55C13" w:rsidR="005A3289" w:rsidRDefault="005A3289" w:rsidP="005A3289">
      <w:pPr>
        <w:widowControl w:val="0"/>
        <w:tabs>
          <w:tab w:val="left" w:pos="720"/>
        </w:tabs>
        <w:autoSpaceDE w:val="0"/>
        <w:autoSpaceDN w:val="0"/>
        <w:spacing w:after="0" w:line="240" w:lineRule="auto"/>
        <w:ind w:right="-63"/>
      </w:pPr>
    </w:p>
    <w:p w14:paraId="36A77593" w14:textId="77777777" w:rsidR="00425661" w:rsidRDefault="00425661" w:rsidP="00425661">
      <w:pPr>
        <w:widowControl w:val="0"/>
        <w:tabs>
          <w:tab w:val="left" w:pos="720"/>
        </w:tabs>
        <w:autoSpaceDE w:val="0"/>
        <w:autoSpaceDN w:val="0"/>
        <w:spacing w:after="0" w:line="240" w:lineRule="auto"/>
        <w:ind w:right="-63"/>
      </w:pPr>
      <w:r>
        <w:t xml:space="preserve">Finally, there exist several international conventions restricting the production, use and trade of certain hazardous chemicals including those relevant for the production or processing of batteries with the intention to protect the environment and human health. Among those are e.g.: </w:t>
      </w:r>
    </w:p>
    <w:p w14:paraId="515660F8" w14:textId="77777777" w:rsidR="00425661" w:rsidRDefault="00425661" w:rsidP="00425661">
      <w:pPr>
        <w:widowControl w:val="0"/>
        <w:tabs>
          <w:tab w:val="left" w:pos="720"/>
        </w:tabs>
        <w:autoSpaceDE w:val="0"/>
        <w:autoSpaceDN w:val="0"/>
        <w:spacing w:after="0" w:line="240" w:lineRule="auto"/>
        <w:ind w:right="-63"/>
      </w:pPr>
    </w:p>
    <w:p w14:paraId="79D2D864" w14:textId="77777777" w:rsidR="00425661" w:rsidRDefault="00425661" w:rsidP="00425661">
      <w:pPr>
        <w:pStyle w:val="Prrafodelista"/>
        <w:widowControl w:val="0"/>
        <w:numPr>
          <w:ilvl w:val="0"/>
          <w:numId w:val="27"/>
        </w:numPr>
        <w:tabs>
          <w:tab w:val="left" w:pos="426"/>
        </w:tabs>
        <w:autoSpaceDE w:val="0"/>
        <w:autoSpaceDN w:val="0"/>
        <w:spacing w:after="0" w:line="240" w:lineRule="auto"/>
        <w:ind w:left="426" w:right="-63" w:hanging="426"/>
      </w:pPr>
      <w:r>
        <w:t>The Basel Convention, on the Control of Transboundary Movements of Hazardous Wastes and their Disposal (Basel Convention</w:t>
      </w:r>
      <w:proofErr w:type="gramStart"/>
      <w:r>
        <w:t>);</w:t>
      </w:r>
      <w:proofErr w:type="gramEnd"/>
    </w:p>
    <w:p w14:paraId="28C46D6A" w14:textId="77777777" w:rsidR="00425661" w:rsidRDefault="00425661" w:rsidP="00425661">
      <w:pPr>
        <w:pStyle w:val="Prrafodelista"/>
        <w:widowControl w:val="0"/>
        <w:numPr>
          <w:ilvl w:val="0"/>
          <w:numId w:val="27"/>
        </w:numPr>
        <w:tabs>
          <w:tab w:val="left" w:pos="426"/>
        </w:tabs>
        <w:autoSpaceDE w:val="0"/>
        <w:autoSpaceDN w:val="0"/>
        <w:spacing w:after="0" w:line="240" w:lineRule="auto"/>
        <w:ind w:left="426" w:right="-63" w:hanging="426"/>
      </w:pPr>
      <w:r>
        <w:t>The Rotterdam Convention on the prior informed consent procedure for certain hazardous chemicals and pesticides in international trade (Rotterdam Convention</w:t>
      </w:r>
      <w:proofErr w:type="gramStart"/>
      <w:r>
        <w:t>);</w:t>
      </w:r>
      <w:proofErr w:type="gramEnd"/>
    </w:p>
    <w:p w14:paraId="12A6435E" w14:textId="77777777" w:rsidR="00425661" w:rsidRDefault="00425661" w:rsidP="00425661">
      <w:pPr>
        <w:pStyle w:val="Prrafodelista"/>
        <w:widowControl w:val="0"/>
        <w:numPr>
          <w:ilvl w:val="0"/>
          <w:numId w:val="27"/>
        </w:numPr>
        <w:tabs>
          <w:tab w:val="left" w:pos="426"/>
        </w:tabs>
        <w:autoSpaceDE w:val="0"/>
        <w:autoSpaceDN w:val="0"/>
        <w:spacing w:after="0" w:line="240" w:lineRule="auto"/>
        <w:ind w:left="426" w:right="-63" w:hanging="426"/>
      </w:pPr>
      <w:r w:rsidRPr="00FD6A77">
        <w:t>Minamata Convention</w:t>
      </w:r>
      <w:r>
        <w:t xml:space="preserve"> on Mercury (Minamata Convention).</w:t>
      </w:r>
    </w:p>
    <w:p w14:paraId="5AB6ECCE" w14:textId="77777777" w:rsidR="00425661" w:rsidRDefault="00425661" w:rsidP="005A3289">
      <w:pPr>
        <w:widowControl w:val="0"/>
        <w:tabs>
          <w:tab w:val="left" w:pos="720"/>
        </w:tabs>
        <w:autoSpaceDE w:val="0"/>
        <w:autoSpaceDN w:val="0"/>
        <w:spacing w:after="0" w:line="240" w:lineRule="auto"/>
        <w:ind w:right="-63"/>
      </w:pPr>
    </w:p>
    <w:p w14:paraId="2275B655" w14:textId="188236AB" w:rsidR="007C56B4" w:rsidRDefault="007C56B4" w:rsidP="007C56B4">
      <w:pPr>
        <w:widowControl w:val="0"/>
        <w:tabs>
          <w:tab w:val="left" w:pos="720"/>
        </w:tabs>
        <w:autoSpaceDE w:val="0"/>
        <w:autoSpaceDN w:val="0"/>
        <w:spacing w:after="0" w:line="240" w:lineRule="auto"/>
        <w:ind w:right="-63"/>
      </w:pPr>
      <w:r w:rsidRPr="00102605">
        <w:t xml:space="preserve">It has become clear, that electromobility will play a significant part in mitigation efforts for combating climate change, hence the EV market has seen significant growth in past years. According to a study published by </w:t>
      </w:r>
      <w:proofErr w:type="spellStart"/>
      <w:r w:rsidRPr="00102605">
        <w:t>IDTechEx</w:t>
      </w:r>
      <w:proofErr w:type="spellEnd"/>
      <w:r w:rsidRPr="00102605">
        <w:t xml:space="preserve">, by 2030 there will be over 6 million battery packs retiring from electric vehicles per year </w:t>
      </w:r>
      <w:sdt>
        <w:sdtPr>
          <w:id w:val="-1398358196"/>
          <w:citation/>
        </w:sdtPr>
        <w:sdtEndPr/>
        <w:sdtContent>
          <w:r w:rsidRPr="00102605">
            <w:fldChar w:fldCharType="begin"/>
          </w:r>
          <w:r w:rsidRPr="00102605">
            <w:instrText xml:space="preserve"> CITATION Jia21 \l 1033 </w:instrText>
          </w:r>
          <w:r w:rsidRPr="00102605">
            <w:fldChar w:fldCharType="separate"/>
          </w:r>
          <w:r w:rsidRPr="00102605">
            <w:t>(Jiao, 2021)</w:t>
          </w:r>
          <w:r w:rsidRPr="00102605">
            <w:fldChar w:fldCharType="end"/>
          </w:r>
        </w:sdtContent>
      </w:sdt>
      <w:r>
        <w:t xml:space="preserve">, which poses a challenge to develop the adequate regulatory environmental, promote improvements in reuse and recycling technology and promote market-based responses in terms of the development of </w:t>
      </w:r>
      <w:r w:rsidR="00992D06">
        <w:t>the supply chain.</w:t>
      </w:r>
    </w:p>
    <w:p w14:paraId="75FA2411" w14:textId="77777777" w:rsidR="00D8342A" w:rsidRDefault="00D8342A" w:rsidP="007C56B4">
      <w:pPr>
        <w:widowControl w:val="0"/>
        <w:tabs>
          <w:tab w:val="left" w:pos="720"/>
        </w:tabs>
        <w:autoSpaceDE w:val="0"/>
        <w:autoSpaceDN w:val="0"/>
        <w:spacing w:after="0" w:line="240" w:lineRule="auto"/>
        <w:ind w:right="-63"/>
      </w:pPr>
    </w:p>
    <w:p w14:paraId="20D0F347" w14:textId="26CBC9A6" w:rsidR="00992D06" w:rsidRDefault="005A3289" w:rsidP="005A3289">
      <w:pPr>
        <w:widowControl w:val="0"/>
        <w:tabs>
          <w:tab w:val="left" w:pos="720"/>
        </w:tabs>
        <w:autoSpaceDE w:val="0"/>
        <w:autoSpaceDN w:val="0"/>
        <w:spacing w:after="0" w:line="240" w:lineRule="auto"/>
        <w:ind w:right="-63"/>
      </w:pPr>
      <w:r w:rsidRPr="00102605">
        <w:t xml:space="preserve">The EU has recently addressed this challenge by proposing an extensive reappeal on its Battery Directive 2006/66/EC to manage the increase of </w:t>
      </w:r>
      <w:r>
        <w:t>EVs</w:t>
      </w:r>
      <w:r w:rsidRPr="00102605">
        <w:t xml:space="preserve"> and industrial use of batteries. At the end of 2020, the EU establishe</w:t>
      </w:r>
      <w:r w:rsidR="00992D06">
        <w:t>d</w:t>
      </w:r>
      <w:r w:rsidRPr="00102605">
        <w:t xml:space="preserve"> requirements on sustainability, safety, labelling and information to allow the placing on the market or putting into service of batteries, as well as requirements for the collection, treatment, and recycling of waste batteries.</w:t>
      </w:r>
    </w:p>
    <w:p w14:paraId="69ABC379" w14:textId="77777777" w:rsidR="00711F16" w:rsidRDefault="00711F16" w:rsidP="005A3289">
      <w:pPr>
        <w:widowControl w:val="0"/>
        <w:tabs>
          <w:tab w:val="left" w:pos="720"/>
        </w:tabs>
        <w:autoSpaceDE w:val="0"/>
        <w:autoSpaceDN w:val="0"/>
        <w:spacing w:after="0" w:line="240" w:lineRule="auto"/>
        <w:ind w:right="-63"/>
      </w:pPr>
    </w:p>
    <w:p w14:paraId="72D157A0" w14:textId="77777777" w:rsidR="00C605E8" w:rsidRDefault="00C605E8" w:rsidP="005A3289">
      <w:pPr>
        <w:widowControl w:val="0"/>
        <w:tabs>
          <w:tab w:val="left" w:pos="720"/>
        </w:tabs>
        <w:autoSpaceDE w:val="0"/>
        <w:autoSpaceDN w:val="0"/>
        <w:spacing w:after="0" w:line="240" w:lineRule="auto"/>
        <w:ind w:right="-63"/>
      </w:pPr>
    </w:p>
    <w:p w14:paraId="1992D516" w14:textId="0B11A252" w:rsidR="005A3289" w:rsidRDefault="005A3289" w:rsidP="005A3289">
      <w:pPr>
        <w:widowControl w:val="0"/>
        <w:tabs>
          <w:tab w:val="left" w:pos="720"/>
        </w:tabs>
        <w:autoSpaceDE w:val="0"/>
        <w:autoSpaceDN w:val="0"/>
        <w:spacing w:after="0" w:line="240" w:lineRule="auto"/>
        <w:ind w:right="-63"/>
      </w:pPr>
      <w:r w:rsidRPr="00102605">
        <w:t xml:space="preserve">The reappeal on directive 2006/66/EC explicitly states its overarching effect on directive 2000/53/EC. This second directive is on improving the sustainability of vehicles by managing their end-of-life. With the inclusion of this document, the need to prevent the release of hazardous waste into the environment for vehicles is expanded towards the new </w:t>
      </w:r>
      <w:r>
        <w:t>EVs</w:t>
      </w:r>
      <w:r w:rsidRPr="00102605">
        <w:t xml:space="preserve">. It achieves this by requiring the design and production of new vehicles to take into full account, and facilitate the dismantling, reuse, recovery, and recycling, of end-of-life vehicles, their components, and material. It also encourages vehicle manufacturers, in liaison with material and equipment manufacturers, to integrate an increasing quantity of recycled material in vehicles and other products, </w:t>
      </w:r>
      <w:proofErr w:type="gramStart"/>
      <w:r w:rsidRPr="00102605">
        <w:t>in order to</w:t>
      </w:r>
      <w:proofErr w:type="gramEnd"/>
      <w:r w:rsidRPr="00102605">
        <w:t xml:space="preserve"> develop the markets for recycled materials </w:t>
      </w:r>
      <w:sdt>
        <w:sdtPr>
          <w:id w:val="1175074563"/>
          <w:citation/>
        </w:sdtPr>
        <w:sdtEndPr/>
        <w:sdtContent>
          <w:r w:rsidRPr="00102605">
            <w:fldChar w:fldCharType="begin"/>
          </w:r>
          <w:r w:rsidRPr="00102605">
            <w:instrText xml:space="preserve">CITATION Dir00 \l 5130 </w:instrText>
          </w:r>
          <w:r w:rsidRPr="00102605">
            <w:fldChar w:fldCharType="separate"/>
          </w:r>
          <w:r w:rsidRPr="00102605">
            <w:t>(Directive 2000/53/EC, 2000)</w:t>
          </w:r>
          <w:r w:rsidRPr="00102605">
            <w:fldChar w:fldCharType="end"/>
          </w:r>
        </w:sdtContent>
      </w:sdt>
      <w:r w:rsidRPr="00102605">
        <w:t xml:space="preserve">. The directive 2000/53/EC stated, as a goal for the year 2015, the reuse and recovery of at least 95% by an average weight per vehicle and year, as well as the recycling with a minimum of 85% by an average weight per vehicle and year </w:t>
      </w:r>
      <w:sdt>
        <w:sdtPr>
          <w:id w:val="-1006360018"/>
          <w:citation/>
        </w:sdtPr>
        <w:sdtEndPr/>
        <w:sdtContent>
          <w:r w:rsidRPr="00102605">
            <w:fldChar w:fldCharType="begin"/>
          </w:r>
          <w:r w:rsidRPr="00102605">
            <w:instrText xml:space="preserve">CITATION Dir00 \l 5130 </w:instrText>
          </w:r>
          <w:r w:rsidRPr="00102605">
            <w:fldChar w:fldCharType="separate"/>
          </w:r>
          <w:r w:rsidRPr="00102605">
            <w:t>(Directive 2000/53/EC, 2000)</w:t>
          </w:r>
          <w:r w:rsidRPr="00102605">
            <w:fldChar w:fldCharType="end"/>
          </w:r>
        </w:sdtContent>
      </w:sdt>
      <w:r w:rsidRPr="00102605">
        <w:t xml:space="preserve">. Thus, by extension of the reappeal of directive 2006/66/EC, similar high goals for recycling and reuse in Europe are to be expected for end-of-life </w:t>
      </w:r>
      <w:r>
        <w:t>EVs</w:t>
      </w:r>
      <w:r w:rsidRPr="00102605">
        <w:t>, and their batteries.</w:t>
      </w:r>
    </w:p>
    <w:p w14:paraId="5062B4C7" w14:textId="77777777" w:rsidR="005A3289" w:rsidRPr="00102605" w:rsidRDefault="005A3289" w:rsidP="00427241">
      <w:pPr>
        <w:widowControl w:val="0"/>
        <w:tabs>
          <w:tab w:val="left" w:pos="426"/>
        </w:tabs>
        <w:autoSpaceDE w:val="0"/>
        <w:autoSpaceDN w:val="0"/>
        <w:spacing w:after="0" w:line="240" w:lineRule="auto"/>
        <w:ind w:right="-63"/>
      </w:pPr>
    </w:p>
    <w:p w14:paraId="75BE2110" w14:textId="77777777" w:rsidR="005A3289" w:rsidRDefault="005A3289" w:rsidP="005A3289">
      <w:pPr>
        <w:widowControl w:val="0"/>
        <w:tabs>
          <w:tab w:val="left" w:pos="720"/>
        </w:tabs>
        <w:autoSpaceDE w:val="0"/>
        <w:autoSpaceDN w:val="0"/>
        <w:spacing w:after="0" w:line="240" w:lineRule="auto"/>
        <w:ind w:right="-63"/>
      </w:pPr>
      <w:r w:rsidRPr="00102605">
        <w:t>The lifecycle of batteries and the respective three end-of-life options are illustrated in the following figure.</w:t>
      </w:r>
    </w:p>
    <w:p w14:paraId="1A075CCC" w14:textId="77777777" w:rsidR="005A3289" w:rsidRPr="00102605" w:rsidRDefault="005A3289" w:rsidP="005A3289">
      <w:pPr>
        <w:widowControl w:val="0"/>
        <w:tabs>
          <w:tab w:val="left" w:pos="720"/>
        </w:tabs>
        <w:autoSpaceDE w:val="0"/>
        <w:autoSpaceDN w:val="0"/>
        <w:spacing w:after="0" w:line="240" w:lineRule="auto"/>
        <w:ind w:right="-63"/>
      </w:pPr>
    </w:p>
    <w:p w14:paraId="277FCCDC" w14:textId="77777777" w:rsidR="005A3289" w:rsidRPr="00102605" w:rsidRDefault="005A3289" w:rsidP="005A3289">
      <w:pPr>
        <w:spacing w:after="0"/>
      </w:pPr>
      <w:r>
        <w:t xml:space="preserve">    </w:t>
      </w:r>
      <w:r w:rsidRPr="00102605">
        <w:t xml:space="preserve">Figure </w:t>
      </w:r>
      <w:r>
        <w:fldChar w:fldCharType="begin"/>
      </w:r>
      <w:r>
        <w:instrText>SEQ Figure \* ARABIC</w:instrText>
      </w:r>
      <w:r>
        <w:fldChar w:fldCharType="separate"/>
      </w:r>
      <w:r>
        <w:rPr>
          <w:noProof/>
        </w:rPr>
        <w:t>2</w:t>
      </w:r>
      <w:r>
        <w:fldChar w:fldCharType="end"/>
      </w:r>
      <w:r w:rsidRPr="00102605">
        <w:t>: EV battery life cycle</w:t>
      </w:r>
    </w:p>
    <w:p w14:paraId="6CE2EA16" w14:textId="77777777" w:rsidR="005A3289" w:rsidRPr="00102605" w:rsidRDefault="005A3289" w:rsidP="005A3289">
      <w:pPr>
        <w:widowControl w:val="0"/>
        <w:tabs>
          <w:tab w:val="left" w:pos="720"/>
        </w:tabs>
        <w:autoSpaceDE w:val="0"/>
        <w:autoSpaceDN w:val="0"/>
        <w:spacing w:after="0" w:line="240" w:lineRule="auto"/>
        <w:ind w:right="-63"/>
        <w:jc w:val="center"/>
      </w:pPr>
      <w:r w:rsidRPr="00102605">
        <w:rPr>
          <w:noProof/>
        </w:rPr>
        <w:drawing>
          <wp:inline distT="0" distB="0" distL="0" distR="0" wp14:anchorId="200DDB25" wp14:editId="37D4B1A1">
            <wp:extent cx="5425145" cy="3185326"/>
            <wp:effectExtent l="19050" t="19050" r="4445" b="0"/>
            <wp:docPr id="2" name="Picture 3"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scala de tiempo&#10;&#10;Descripción generada automáticamente con confianza baja"/>
                    <pic:cNvPicPr/>
                  </pic:nvPicPr>
                  <pic:blipFill rotWithShape="1">
                    <a:blip r:embed="rId20"/>
                    <a:srcRect t="4185"/>
                    <a:stretch/>
                  </pic:blipFill>
                  <pic:spPr bwMode="auto">
                    <a:xfrm>
                      <a:off x="0" y="0"/>
                      <a:ext cx="5437538" cy="3192602"/>
                    </a:xfrm>
                    <a:prstGeom prst="rect">
                      <a:avLst/>
                    </a:prstGeom>
                    <a:ln w="19050">
                      <a:solidFill>
                        <a:schemeClr val="accent6"/>
                      </a:solidFill>
                    </a:ln>
                    <a:extLst>
                      <a:ext uri="{53640926-AAD7-44D8-BBD7-CCE9431645EC}">
                        <a14:shadowObscured xmlns:a14="http://schemas.microsoft.com/office/drawing/2010/main"/>
                      </a:ext>
                    </a:extLst>
                  </pic:spPr>
                </pic:pic>
              </a:graphicData>
            </a:graphic>
          </wp:inline>
        </w:drawing>
      </w:r>
    </w:p>
    <w:p w14:paraId="583B49D9" w14:textId="77777777" w:rsidR="005A3289" w:rsidRPr="00102605" w:rsidRDefault="005A3289" w:rsidP="005A3289">
      <w:pPr>
        <w:widowControl w:val="0"/>
        <w:tabs>
          <w:tab w:val="left" w:pos="720"/>
        </w:tabs>
        <w:autoSpaceDE w:val="0"/>
        <w:autoSpaceDN w:val="0"/>
        <w:spacing w:after="0" w:line="240" w:lineRule="auto"/>
        <w:ind w:right="-63"/>
        <w:jc w:val="center"/>
        <w:rPr>
          <w:i/>
          <w:iCs/>
        </w:rPr>
      </w:pPr>
      <w:r w:rsidRPr="00102605">
        <w:rPr>
          <w:i/>
          <w:iCs/>
        </w:rPr>
        <w:t>Source: McKinsey, 2019</w:t>
      </w:r>
    </w:p>
    <w:p w14:paraId="758CED69" w14:textId="77777777" w:rsidR="005A3289" w:rsidRDefault="005A3289" w:rsidP="005A3289">
      <w:pPr>
        <w:widowControl w:val="0"/>
        <w:tabs>
          <w:tab w:val="left" w:pos="720"/>
        </w:tabs>
        <w:autoSpaceDE w:val="0"/>
        <w:autoSpaceDN w:val="0"/>
        <w:spacing w:after="0" w:line="240" w:lineRule="auto"/>
        <w:ind w:right="-63"/>
        <w:rPr>
          <w:b/>
          <w:bCs/>
        </w:rPr>
      </w:pPr>
    </w:p>
    <w:p w14:paraId="6933AFA2" w14:textId="77777777" w:rsidR="007E2138" w:rsidRDefault="007E2138" w:rsidP="005A3289">
      <w:pPr>
        <w:widowControl w:val="0"/>
        <w:tabs>
          <w:tab w:val="left" w:pos="720"/>
        </w:tabs>
        <w:autoSpaceDE w:val="0"/>
        <w:autoSpaceDN w:val="0"/>
        <w:spacing w:after="0" w:line="240" w:lineRule="auto"/>
        <w:ind w:right="-63"/>
        <w:rPr>
          <w:b/>
          <w:bCs/>
        </w:rPr>
      </w:pPr>
    </w:p>
    <w:p w14:paraId="4DDD96F4" w14:textId="77777777" w:rsidR="007E2138" w:rsidRDefault="007E2138" w:rsidP="005A3289">
      <w:pPr>
        <w:widowControl w:val="0"/>
        <w:tabs>
          <w:tab w:val="left" w:pos="720"/>
        </w:tabs>
        <w:autoSpaceDE w:val="0"/>
        <w:autoSpaceDN w:val="0"/>
        <w:spacing w:after="0" w:line="240" w:lineRule="auto"/>
        <w:ind w:right="-63"/>
        <w:rPr>
          <w:b/>
          <w:bCs/>
        </w:rPr>
      </w:pPr>
    </w:p>
    <w:p w14:paraId="786A72A0" w14:textId="77777777" w:rsidR="007E2138" w:rsidRDefault="007E2138" w:rsidP="005A3289">
      <w:pPr>
        <w:widowControl w:val="0"/>
        <w:tabs>
          <w:tab w:val="left" w:pos="720"/>
        </w:tabs>
        <w:autoSpaceDE w:val="0"/>
        <w:autoSpaceDN w:val="0"/>
        <w:spacing w:after="0" w:line="240" w:lineRule="auto"/>
        <w:ind w:right="-63"/>
        <w:rPr>
          <w:b/>
          <w:bCs/>
        </w:rPr>
      </w:pPr>
    </w:p>
    <w:p w14:paraId="240B8025" w14:textId="77777777" w:rsidR="007E2138" w:rsidRDefault="007E2138" w:rsidP="005A3289">
      <w:pPr>
        <w:widowControl w:val="0"/>
        <w:tabs>
          <w:tab w:val="left" w:pos="720"/>
        </w:tabs>
        <w:autoSpaceDE w:val="0"/>
        <w:autoSpaceDN w:val="0"/>
        <w:spacing w:after="0" w:line="240" w:lineRule="auto"/>
        <w:ind w:right="-63"/>
        <w:rPr>
          <w:b/>
          <w:bCs/>
        </w:rPr>
      </w:pPr>
    </w:p>
    <w:p w14:paraId="3A7CBE58" w14:textId="6596936B" w:rsidR="005A3289" w:rsidRDefault="005A3289" w:rsidP="005A3289">
      <w:pPr>
        <w:widowControl w:val="0"/>
        <w:tabs>
          <w:tab w:val="left" w:pos="720"/>
        </w:tabs>
        <w:autoSpaceDE w:val="0"/>
        <w:autoSpaceDN w:val="0"/>
        <w:spacing w:after="0" w:line="240" w:lineRule="auto"/>
        <w:ind w:right="-63"/>
      </w:pPr>
      <w:r w:rsidRPr="00102605">
        <w:rPr>
          <w:b/>
          <w:bCs/>
        </w:rPr>
        <w:t>Recycling</w:t>
      </w:r>
      <w:r w:rsidRPr="00102605">
        <w:t xml:space="preserve"> provides a pathway to lower environmental impacts and a source of high-value materials that can be used in producing new batteries. It seems to be the perceived default option for spent batteries. For the recycling of used batteries to be efficient and economically beneficial, the reverse supply chain must be optimized and fully realized </w:t>
      </w:r>
      <w:sdt>
        <w:sdtPr>
          <w:id w:val="891239177"/>
          <w:citation/>
        </w:sdtPr>
        <w:sdtEndPr/>
        <w:sdtContent>
          <w:r w:rsidRPr="00102605">
            <w:fldChar w:fldCharType="begin"/>
          </w:r>
          <w:r w:rsidR="00876290">
            <w:instrText xml:space="preserve">CITATION Ste \l 1033 </w:instrText>
          </w:r>
          <w:r w:rsidRPr="00102605">
            <w:fldChar w:fldCharType="separate"/>
          </w:r>
          <w:r w:rsidR="00876290" w:rsidRPr="007618E4">
            <w:rPr>
              <w:noProof/>
            </w:rPr>
            <w:t>(Stewar, 2019)</w:t>
          </w:r>
          <w:r w:rsidRPr="00102605">
            <w:fldChar w:fldCharType="end"/>
          </w:r>
        </w:sdtContent>
      </w:sdt>
      <w:r w:rsidRPr="00102605">
        <w:t xml:space="preserve">. This chain is composed of collecting, dismantling, and recycling. For the Latin American countries, these logistic and industrial steps are non-existing. Moreover, the battery recycling process as such is complex. Almost all dismantling occurs manually and there are very few options for automatization </w:t>
      </w:r>
      <w:sdt>
        <w:sdtPr>
          <w:id w:val="131981483"/>
          <w:citation/>
        </w:sdtPr>
        <w:sdtEndPr/>
        <w:sdtContent>
          <w:r w:rsidRPr="00102605">
            <w:fldChar w:fldCharType="begin"/>
          </w:r>
          <w:r w:rsidR="00876290">
            <w:instrText xml:space="preserve">CITATION Ste \l 1033 </w:instrText>
          </w:r>
          <w:r w:rsidRPr="00102605">
            <w:fldChar w:fldCharType="separate"/>
          </w:r>
          <w:r w:rsidR="00876290" w:rsidRPr="007618E4">
            <w:rPr>
              <w:noProof/>
            </w:rPr>
            <w:t>(Stewar, 2019)</w:t>
          </w:r>
          <w:r w:rsidRPr="00102605">
            <w:fldChar w:fldCharType="end"/>
          </w:r>
        </w:sdtContent>
      </w:sdt>
      <w:r w:rsidRPr="00102605">
        <w:t>. As the composition of materials in each battery is different according to the respective model, a manual process is currently necessary 100% recycling of the high-value elements of batteries has not yet been achieved.</w:t>
      </w:r>
    </w:p>
    <w:p w14:paraId="2D4D07BA" w14:textId="77777777" w:rsidR="001940C8" w:rsidRDefault="001940C8" w:rsidP="005A3289">
      <w:pPr>
        <w:widowControl w:val="0"/>
        <w:tabs>
          <w:tab w:val="left" w:pos="720"/>
        </w:tabs>
        <w:autoSpaceDE w:val="0"/>
        <w:autoSpaceDN w:val="0"/>
        <w:spacing w:after="0" w:line="240" w:lineRule="auto"/>
        <w:ind w:right="-63"/>
      </w:pPr>
    </w:p>
    <w:p w14:paraId="1750C852" w14:textId="77777777" w:rsidR="005A3289" w:rsidRDefault="005A3289" w:rsidP="005A3289">
      <w:pPr>
        <w:widowControl w:val="0"/>
        <w:tabs>
          <w:tab w:val="left" w:pos="720"/>
        </w:tabs>
        <w:autoSpaceDE w:val="0"/>
        <w:autoSpaceDN w:val="0"/>
        <w:spacing w:after="0" w:line="240" w:lineRule="auto"/>
        <w:ind w:right="-63"/>
      </w:pPr>
      <w:r w:rsidRPr="00102605">
        <w:t xml:space="preserve">The BAU solution for </w:t>
      </w:r>
      <w:r w:rsidRPr="00102605">
        <w:rPr>
          <w:b/>
          <w:bCs/>
        </w:rPr>
        <w:t>final disposal</w:t>
      </w:r>
      <w:r w:rsidRPr="00102605">
        <w:t xml:space="preserve"> of simply dumping batteries into secure landfills or dedicated storage facilities do not grand any further profitability and pose a latent danger to the community and environment in which these installations are located. Therefore, this solution is the least acceptable one.</w:t>
      </w:r>
    </w:p>
    <w:p w14:paraId="1121C018" w14:textId="77777777" w:rsidR="005A3289" w:rsidRPr="00102605" w:rsidRDefault="005A3289" w:rsidP="005A3289">
      <w:pPr>
        <w:widowControl w:val="0"/>
        <w:tabs>
          <w:tab w:val="left" w:pos="720"/>
        </w:tabs>
        <w:autoSpaceDE w:val="0"/>
        <w:autoSpaceDN w:val="0"/>
        <w:spacing w:after="0" w:line="240" w:lineRule="auto"/>
        <w:ind w:right="-63"/>
      </w:pPr>
    </w:p>
    <w:p w14:paraId="56D30513" w14:textId="77777777" w:rsidR="005A3289" w:rsidRDefault="005A3289" w:rsidP="005A3289">
      <w:pPr>
        <w:widowControl w:val="0"/>
        <w:tabs>
          <w:tab w:val="left" w:pos="720"/>
        </w:tabs>
        <w:autoSpaceDE w:val="0"/>
        <w:autoSpaceDN w:val="0"/>
        <w:spacing w:after="0" w:line="240" w:lineRule="auto"/>
        <w:ind w:right="-63"/>
      </w:pPr>
      <w:r w:rsidRPr="00102605">
        <w:rPr>
          <w:b/>
          <w:bCs/>
        </w:rPr>
        <w:t>Second-life</w:t>
      </w:r>
      <w:r w:rsidRPr="00102605">
        <w:t xml:space="preserve"> constitutes, as shown in figure 2, a variation of the traditional recycling circular economy, in which the expended batteries are refurbished and then used for the original or an alternative application. This extends the life of the battery before being recycled, and therefore optimizing the use of its resources.</w:t>
      </w:r>
    </w:p>
    <w:p w14:paraId="7876981E" w14:textId="77777777" w:rsidR="005A3289" w:rsidRPr="00102605" w:rsidRDefault="005A3289" w:rsidP="005A3289">
      <w:pPr>
        <w:widowControl w:val="0"/>
        <w:tabs>
          <w:tab w:val="left" w:pos="720"/>
        </w:tabs>
        <w:autoSpaceDE w:val="0"/>
        <w:autoSpaceDN w:val="0"/>
        <w:spacing w:after="0" w:line="240" w:lineRule="auto"/>
        <w:ind w:right="-63"/>
      </w:pPr>
    </w:p>
    <w:p w14:paraId="78B6BE84" w14:textId="77777777" w:rsidR="005A3289" w:rsidRDefault="005A3289" w:rsidP="005A3289">
      <w:pPr>
        <w:widowControl w:val="0"/>
        <w:tabs>
          <w:tab w:val="left" w:pos="720"/>
        </w:tabs>
        <w:autoSpaceDE w:val="0"/>
        <w:autoSpaceDN w:val="0"/>
        <w:spacing w:after="0" w:line="240" w:lineRule="auto"/>
        <w:ind w:right="-63"/>
      </w:pPr>
      <w:r w:rsidRPr="00102605">
        <w:t>Currently, there is very little information on the costs of both recycling and the second-life approach. This strongly depends on the costs of collection, transport, storage, sorting, dismantling, reuse and eventually recycling of the batteries. The universal financial viability for these proposals for lithium-ion batteries can therefore still not be determined.</w:t>
      </w:r>
    </w:p>
    <w:p w14:paraId="15B7C577" w14:textId="77777777" w:rsidR="005A3289" w:rsidRDefault="005A3289" w:rsidP="005A3289">
      <w:pPr>
        <w:widowControl w:val="0"/>
        <w:tabs>
          <w:tab w:val="left" w:pos="720"/>
        </w:tabs>
        <w:autoSpaceDE w:val="0"/>
        <w:autoSpaceDN w:val="0"/>
        <w:spacing w:after="0" w:line="240" w:lineRule="auto"/>
        <w:ind w:right="-63"/>
      </w:pPr>
    </w:p>
    <w:p w14:paraId="461F3548" w14:textId="77777777" w:rsidR="005A3289" w:rsidRDefault="005A3289" w:rsidP="005A3289">
      <w:pPr>
        <w:widowControl w:val="0"/>
        <w:tabs>
          <w:tab w:val="left" w:pos="720"/>
        </w:tabs>
        <w:autoSpaceDE w:val="0"/>
        <w:autoSpaceDN w:val="0"/>
        <w:spacing w:after="0" w:line="240" w:lineRule="auto"/>
        <w:ind w:right="-63"/>
      </w:pPr>
      <w:r w:rsidRPr="00102605">
        <w:t xml:space="preserve">The two environmentally sustainable alternatives of recycling and second life evidently due to many shared supply chain elements, present similar technical, regulatory, and financial challenges. Although the added benefits of a second life are significant and thus the most attractive opportunity to date. Extending the usable life of an EV battery becomes even more attractive when the definition of “expended” EV batteries is inspected. Batteries are classified as “expended” as soon as they no longer meet the high EV power delivery and usable charge requirements. But these batteries could still retain up to 70-80% of the original capacity, they most definitely can be used for applications with reduced requirements </w:t>
      </w:r>
      <w:sdt>
        <w:sdtPr>
          <w:id w:val="1552885761"/>
          <w:citation/>
        </w:sdtPr>
        <w:sdtEndPr/>
        <w:sdtContent>
          <w:r w:rsidRPr="00102605">
            <w:fldChar w:fldCharType="begin"/>
          </w:r>
          <w:r w:rsidRPr="00102605">
            <w:instrText xml:space="preserve"> CITATION Röß18 \l 1033 </w:instrText>
          </w:r>
          <w:r w:rsidRPr="00102605">
            <w:fldChar w:fldCharType="separate"/>
          </w:r>
          <w:r w:rsidRPr="00102605">
            <w:t>(Rößiger, 2018)</w:t>
          </w:r>
          <w:r w:rsidRPr="00102605">
            <w:fldChar w:fldCharType="end"/>
          </w:r>
        </w:sdtContent>
      </w:sdt>
      <w:r w:rsidRPr="00102605">
        <w:t xml:space="preserve">. These, otherwise fine batteries, provide huge value opportunities for a range of stakeholders across the automotive and energy storage sectors. This potential value for a wider scale implementation is impacted by how the batteries are designed and used in their first life in the electric vehicles, how they are collected and used in second-life applications as well as the value of recycling </w:t>
      </w:r>
      <w:sdt>
        <w:sdtPr>
          <w:id w:val="8194788"/>
          <w:citation/>
        </w:sdtPr>
        <w:sdtEndPr/>
        <w:sdtContent>
          <w:r w:rsidRPr="00102605">
            <w:fldChar w:fldCharType="begin"/>
          </w:r>
          <w:r w:rsidRPr="00102605">
            <w:instrText xml:space="preserve"> CITATION Jia21 \l 5130 </w:instrText>
          </w:r>
          <w:r w:rsidRPr="00102605">
            <w:fldChar w:fldCharType="separate"/>
          </w:r>
          <w:r w:rsidRPr="00102605">
            <w:t>(Jiao, 2021)</w:t>
          </w:r>
          <w:r w:rsidRPr="00102605">
            <w:fldChar w:fldCharType="end"/>
          </w:r>
        </w:sdtContent>
      </w:sdt>
      <w:r w:rsidRPr="00102605">
        <w:t xml:space="preserve">. </w:t>
      </w:r>
    </w:p>
    <w:p w14:paraId="364BD6D6" w14:textId="77777777" w:rsidR="005A3289" w:rsidRPr="00102605" w:rsidRDefault="005A3289" w:rsidP="005A3289">
      <w:pPr>
        <w:widowControl w:val="0"/>
        <w:tabs>
          <w:tab w:val="left" w:pos="720"/>
        </w:tabs>
        <w:autoSpaceDE w:val="0"/>
        <w:autoSpaceDN w:val="0"/>
        <w:spacing w:after="0" w:line="240" w:lineRule="auto"/>
        <w:ind w:right="-63"/>
      </w:pPr>
    </w:p>
    <w:p w14:paraId="167D94C1" w14:textId="77777777" w:rsidR="005A3289" w:rsidRDefault="005A3289" w:rsidP="005A3289">
      <w:pPr>
        <w:widowControl w:val="0"/>
        <w:tabs>
          <w:tab w:val="left" w:pos="720"/>
        </w:tabs>
        <w:autoSpaceDE w:val="0"/>
        <w:autoSpaceDN w:val="0"/>
        <w:spacing w:after="0" w:line="240" w:lineRule="auto"/>
        <w:ind w:right="-63"/>
      </w:pPr>
      <w:r w:rsidRPr="00102605">
        <w:t xml:space="preserve">To meet safety standards for a second-life use, the batteries must be more regularized. For example, the proposed appeal to the EU’s battery directive 2006/66/EC describes the needed legal and technical actions, such as safety of use for end user, health assessment of used batteries, provision of information such as chemical composition and capacity, implementation of battery passports, and implementation of extended producer responsibility. Battery passports are going to be used for health assessment and information provision of the battery into which they are installed. This diagnostic will simplify the administration of batteries in a long term, even easing the implementation of second-life operation </w:t>
      </w:r>
      <w:sdt>
        <w:sdtPr>
          <w:id w:val="398947949"/>
          <w:citation/>
        </w:sdtPr>
        <w:sdtEndPr/>
        <w:sdtContent>
          <w:r w:rsidRPr="00102605">
            <w:fldChar w:fldCharType="begin"/>
          </w:r>
          <w:r w:rsidRPr="00102605">
            <w:instrText xml:space="preserve">CITATION MarcadorDePosición1 \l 1033 </w:instrText>
          </w:r>
          <w:r w:rsidRPr="00102605">
            <w:fldChar w:fldCharType="separate"/>
          </w:r>
          <w:r w:rsidRPr="00102605">
            <w:t>(Reappeal on Directive 2006/66/EC, 2020)</w:t>
          </w:r>
          <w:r w:rsidRPr="00102605">
            <w:fldChar w:fldCharType="end"/>
          </w:r>
        </w:sdtContent>
      </w:sdt>
      <w:r w:rsidRPr="00102605">
        <w:t>.</w:t>
      </w:r>
    </w:p>
    <w:p w14:paraId="6AC06EC0" w14:textId="77777777" w:rsidR="005A3289" w:rsidRPr="00102605" w:rsidRDefault="005A3289" w:rsidP="005A3289">
      <w:pPr>
        <w:widowControl w:val="0"/>
        <w:tabs>
          <w:tab w:val="left" w:pos="720"/>
        </w:tabs>
        <w:autoSpaceDE w:val="0"/>
        <w:autoSpaceDN w:val="0"/>
        <w:spacing w:after="0" w:line="240" w:lineRule="auto"/>
        <w:ind w:right="-63"/>
      </w:pPr>
    </w:p>
    <w:p w14:paraId="49289F3E" w14:textId="63E194D6" w:rsidR="005A3289" w:rsidRDefault="005A3289" w:rsidP="00427241">
      <w:pPr>
        <w:widowControl w:val="0"/>
        <w:tabs>
          <w:tab w:val="left" w:pos="720"/>
        </w:tabs>
        <w:autoSpaceDE w:val="0"/>
        <w:autoSpaceDN w:val="0"/>
        <w:spacing w:after="0" w:line="240" w:lineRule="auto"/>
        <w:ind w:right="-63"/>
      </w:pPr>
      <w:r w:rsidRPr="00102605">
        <w:t xml:space="preserve">The potential uses for </w:t>
      </w:r>
      <w:proofErr w:type="gramStart"/>
      <w:r w:rsidRPr="00102605">
        <w:t>second-life</w:t>
      </w:r>
      <w:proofErr w:type="gramEnd"/>
      <w:r w:rsidRPr="00102605">
        <w:t xml:space="preserve"> of an EV battery depend strongly on battery health but can range from other mobility application, such as for e-scooters or electric pallet jacks, to semi-stationary, like a battery for illumination on remote construction sites or completely stationary as a buffer for peak demand or production for the electric grid. Based on these “expended” EV batteries, new markets will emerge.</w:t>
      </w:r>
    </w:p>
    <w:p w14:paraId="3EF43CFA" w14:textId="77777777" w:rsidR="00D8342A" w:rsidRDefault="00D8342A" w:rsidP="00427241">
      <w:pPr>
        <w:widowControl w:val="0"/>
        <w:tabs>
          <w:tab w:val="left" w:pos="720"/>
        </w:tabs>
        <w:autoSpaceDE w:val="0"/>
        <w:autoSpaceDN w:val="0"/>
        <w:spacing w:after="0" w:line="240" w:lineRule="auto"/>
        <w:ind w:right="-63"/>
      </w:pPr>
    </w:p>
    <w:p w14:paraId="5172FBE8" w14:textId="77777777" w:rsidR="00D50D43" w:rsidRDefault="00D50D43" w:rsidP="00427241">
      <w:pPr>
        <w:widowControl w:val="0"/>
        <w:tabs>
          <w:tab w:val="left" w:pos="720"/>
        </w:tabs>
        <w:autoSpaceDE w:val="0"/>
        <w:autoSpaceDN w:val="0"/>
        <w:spacing w:after="0" w:line="240" w:lineRule="auto"/>
        <w:ind w:right="-63"/>
      </w:pPr>
    </w:p>
    <w:p w14:paraId="28C3EBCC" w14:textId="77777777" w:rsidR="00D50D43" w:rsidRPr="005A3289" w:rsidRDefault="00D50D43" w:rsidP="00427241">
      <w:pPr>
        <w:widowControl w:val="0"/>
        <w:tabs>
          <w:tab w:val="left" w:pos="720"/>
        </w:tabs>
        <w:autoSpaceDE w:val="0"/>
        <w:autoSpaceDN w:val="0"/>
        <w:spacing w:after="0" w:line="240" w:lineRule="auto"/>
        <w:ind w:right="-63"/>
      </w:pPr>
    </w:p>
    <w:p w14:paraId="170CC8D0" w14:textId="01B52DF1" w:rsidR="00976CF9" w:rsidRPr="00102605" w:rsidRDefault="00976CF9" w:rsidP="00E45BBC">
      <w:pPr>
        <w:pStyle w:val="Ttulo1"/>
        <w:numPr>
          <w:ilvl w:val="1"/>
          <w:numId w:val="1"/>
        </w:numPr>
        <w:spacing w:before="0" w:after="0" w:line="240" w:lineRule="auto"/>
        <w:ind w:left="567" w:hanging="567"/>
      </w:pPr>
      <w:bookmarkStart w:id="21" w:name="_Toc114152211"/>
      <w:r w:rsidRPr="00102605">
        <w:t>Applicable environmental and social safeguards</w:t>
      </w:r>
      <w:bookmarkEnd w:id="21"/>
    </w:p>
    <w:p w14:paraId="5E85073D" w14:textId="77777777" w:rsidR="00D07B6F" w:rsidRDefault="00D07B6F" w:rsidP="00D07B6F">
      <w:pPr>
        <w:spacing w:after="0" w:line="240" w:lineRule="auto"/>
      </w:pPr>
    </w:p>
    <w:p w14:paraId="71A6230B" w14:textId="7F2E3738" w:rsidR="009711CC" w:rsidRDefault="009711CC" w:rsidP="00D07B6F">
      <w:pPr>
        <w:spacing w:after="0" w:line="240" w:lineRule="auto"/>
      </w:pPr>
      <w:r w:rsidRPr="00102605">
        <w:t xml:space="preserve">CAF ́s strategy for environmental sustainability and climate change promotes a paradigm shift towards low-carbon and climate-resilient economies with green infrastructure and a transformation to sustainable production systems, through the provision of technical, financial and knowledge resources to countries to support the implementation of the United Nation ́s Agenda 2030. CAF ensures that </w:t>
      </w:r>
      <w:r w:rsidR="003F3E30" w:rsidRPr="00102605">
        <w:t>all</w:t>
      </w:r>
      <w:r w:rsidRPr="00102605">
        <w:t xml:space="preserve"> the operations it finances comply with national legislation and that all operations and activities are in accordance with the highest international standards in the management of environmental and social risks and climate change. For this, institutions accessing </w:t>
      </w:r>
      <w:r w:rsidR="00C52583">
        <w:t xml:space="preserve">to </w:t>
      </w:r>
      <w:r w:rsidR="00C37BDF">
        <w:t xml:space="preserve">funds from E-Motion Subprogram 2 </w:t>
      </w:r>
      <w:r w:rsidRPr="00102605">
        <w:t xml:space="preserve">must </w:t>
      </w:r>
      <w:r w:rsidR="00C37BDF">
        <w:t>comply with</w:t>
      </w:r>
      <w:r w:rsidRPr="00102605">
        <w:t xml:space="preserve"> </w:t>
      </w:r>
      <w:r w:rsidR="00C37BDF">
        <w:t>CAF´s E</w:t>
      </w:r>
      <w:r w:rsidR="00C37BDF" w:rsidRPr="00102605">
        <w:t xml:space="preserve">nvironmental </w:t>
      </w:r>
      <w:r w:rsidRPr="00102605">
        <w:t xml:space="preserve">and </w:t>
      </w:r>
      <w:r w:rsidR="00C37BDF">
        <w:t>S</w:t>
      </w:r>
      <w:r w:rsidR="00C37BDF" w:rsidRPr="00102605">
        <w:t xml:space="preserve">ocial </w:t>
      </w:r>
      <w:r w:rsidR="00C37BDF">
        <w:t>S</w:t>
      </w:r>
      <w:r w:rsidR="00C37BDF" w:rsidRPr="00102605">
        <w:t>afeguards</w:t>
      </w:r>
      <w:r w:rsidR="00C37BDF">
        <w:t>, which</w:t>
      </w:r>
      <w:r w:rsidRPr="00102605">
        <w:t xml:space="preserve"> integrate the principles postulated </w:t>
      </w:r>
      <w:r w:rsidR="003F3E30" w:rsidRPr="00102605">
        <w:t>by CAF in</w:t>
      </w:r>
      <w:r w:rsidRPr="00102605">
        <w:t xml:space="preserve"> matters of social and environmental sustainability and climate change</w:t>
      </w:r>
      <w:r w:rsidR="00C37BDF">
        <w:t xml:space="preserve">, </w:t>
      </w:r>
      <w:r w:rsidR="00C37BDF" w:rsidRPr="007618E4">
        <w:t>as well as GCF´s interim environmental and social safeguards and performance standards, the revised environmental and social policy, the indigenous peoples’ policy, and the gender policy</w:t>
      </w:r>
      <w:r w:rsidRPr="00102605">
        <w:t xml:space="preserve">. CAF ́s social and environmental </w:t>
      </w:r>
      <w:r w:rsidR="003F3E30" w:rsidRPr="00102605">
        <w:t>safeguards have</w:t>
      </w:r>
      <w:r w:rsidRPr="00102605">
        <w:t xml:space="preserve"> been designed with the objective to:</w:t>
      </w:r>
    </w:p>
    <w:p w14:paraId="28715809" w14:textId="77777777" w:rsidR="00D07B6F" w:rsidRPr="00102605" w:rsidRDefault="00D07B6F" w:rsidP="00D07B6F">
      <w:pPr>
        <w:spacing w:after="0" w:line="240" w:lineRule="auto"/>
      </w:pPr>
    </w:p>
    <w:p w14:paraId="0D9B5A48" w14:textId="667CAECF" w:rsidR="009711CC" w:rsidRPr="00102605" w:rsidRDefault="009711CC" w:rsidP="00D07B6F">
      <w:pPr>
        <w:pStyle w:val="Prrafodelista"/>
        <w:numPr>
          <w:ilvl w:val="0"/>
          <w:numId w:val="49"/>
        </w:numPr>
        <w:spacing w:after="0" w:line="240" w:lineRule="auto"/>
      </w:pPr>
      <w:r w:rsidRPr="00102605">
        <w:t xml:space="preserve">Prevent </w:t>
      </w:r>
      <w:r w:rsidR="003F3E30" w:rsidRPr="00102605">
        <w:t>mitigate and</w:t>
      </w:r>
      <w:r w:rsidRPr="00102605">
        <w:t>/</w:t>
      </w:r>
      <w:r w:rsidR="003F3E30" w:rsidRPr="00102605">
        <w:t>or compensate adverse impacts for the population and the environment</w:t>
      </w:r>
    </w:p>
    <w:p w14:paraId="1BE3243F" w14:textId="0E2BE4E3" w:rsidR="009711CC" w:rsidRPr="00102605" w:rsidRDefault="009711CC" w:rsidP="00D07B6F">
      <w:pPr>
        <w:pStyle w:val="Prrafodelista"/>
        <w:numPr>
          <w:ilvl w:val="0"/>
          <w:numId w:val="49"/>
        </w:numPr>
        <w:spacing w:after="0" w:line="240" w:lineRule="auto"/>
      </w:pPr>
      <w:r w:rsidRPr="00102605">
        <w:t xml:space="preserve">Consider climate risks at the </w:t>
      </w:r>
      <w:r w:rsidR="00C524AB">
        <w:t>sub-</w:t>
      </w:r>
      <w:r w:rsidRPr="00102605">
        <w:t>project level, in a transversal way within its operations.</w:t>
      </w:r>
    </w:p>
    <w:p w14:paraId="73F23F2E" w14:textId="022E81BB" w:rsidR="009711CC" w:rsidRPr="00102605" w:rsidRDefault="009711CC" w:rsidP="00D07B6F">
      <w:pPr>
        <w:pStyle w:val="Prrafodelista"/>
        <w:numPr>
          <w:ilvl w:val="0"/>
          <w:numId w:val="49"/>
        </w:numPr>
        <w:spacing w:after="0" w:line="240" w:lineRule="auto"/>
      </w:pPr>
      <w:r w:rsidRPr="00102605">
        <w:t>Encourage the participation of stakeholders.</w:t>
      </w:r>
    </w:p>
    <w:p w14:paraId="2F6EADB1" w14:textId="09E1641B" w:rsidR="009711CC" w:rsidRPr="00102605" w:rsidRDefault="009711CC" w:rsidP="00D07B6F">
      <w:pPr>
        <w:pStyle w:val="Prrafodelista"/>
        <w:numPr>
          <w:ilvl w:val="0"/>
          <w:numId w:val="49"/>
        </w:numPr>
        <w:spacing w:after="0" w:line="240" w:lineRule="auto"/>
      </w:pPr>
      <w:r w:rsidRPr="00102605">
        <w:t>Conserve biological diversity and natural habitats.</w:t>
      </w:r>
    </w:p>
    <w:p w14:paraId="440A1B05" w14:textId="20499F52" w:rsidR="009711CC" w:rsidRPr="00102605" w:rsidRDefault="009711CC" w:rsidP="00D07B6F">
      <w:pPr>
        <w:pStyle w:val="Prrafodelista"/>
        <w:numPr>
          <w:ilvl w:val="0"/>
          <w:numId w:val="49"/>
        </w:numPr>
        <w:spacing w:after="0" w:line="240" w:lineRule="auto"/>
      </w:pPr>
      <w:r w:rsidRPr="00102605">
        <w:t>Promote the sustainable use of natural resources and ecosystem services.</w:t>
      </w:r>
    </w:p>
    <w:p w14:paraId="52BB5FBD" w14:textId="3FBBED3B" w:rsidR="009711CC" w:rsidRPr="00102605" w:rsidRDefault="009711CC" w:rsidP="00D07B6F">
      <w:pPr>
        <w:pStyle w:val="Prrafodelista"/>
        <w:numPr>
          <w:ilvl w:val="0"/>
          <w:numId w:val="49"/>
        </w:numPr>
        <w:spacing w:after="0" w:line="240" w:lineRule="auto"/>
      </w:pPr>
      <w:r w:rsidRPr="00102605">
        <w:t>Avoid and minimize negative impacts on people ́</w:t>
      </w:r>
      <w:r w:rsidR="003F3E30" w:rsidRPr="00102605">
        <w:t>s health, biodiversity,</w:t>
      </w:r>
      <w:r w:rsidRPr="00102605">
        <w:t xml:space="preserve"> and ecosystems through the prevention of pollution.</w:t>
      </w:r>
    </w:p>
    <w:p w14:paraId="7954B617" w14:textId="5AD8B10E" w:rsidR="009711CC" w:rsidRPr="00102605" w:rsidRDefault="009711CC" w:rsidP="00D07B6F">
      <w:pPr>
        <w:pStyle w:val="Prrafodelista"/>
        <w:numPr>
          <w:ilvl w:val="0"/>
          <w:numId w:val="49"/>
        </w:numPr>
        <w:spacing w:after="0" w:line="240" w:lineRule="auto"/>
      </w:pPr>
      <w:r w:rsidRPr="00102605">
        <w:t xml:space="preserve">Recognize, </w:t>
      </w:r>
      <w:r w:rsidR="003F3E30" w:rsidRPr="00102605">
        <w:t>protect,</w:t>
      </w:r>
      <w:r w:rsidRPr="00102605">
        <w:t xml:space="preserve"> and value the cultural heritage of the region.</w:t>
      </w:r>
    </w:p>
    <w:p w14:paraId="41DA87CB" w14:textId="6CB5EA72" w:rsidR="009711CC" w:rsidRPr="00102605" w:rsidRDefault="009711CC" w:rsidP="00D07B6F">
      <w:pPr>
        <w:pStyle w:val="Prrafodelista"/>
        <w:numPr>
          <w:ilvl w:val="0"/>
          <w:numId w:val="49"/>
        </w:numPr>
        <w:spacing w:after="0" w:line="240" w:lineRule="auto"/>
      </w:pPr>
      <w:r w:rsidRPr="00102605">
        <w:t>Ensure compliance with international commitments regarding rights of indigenous peoples and other minorities and vulnerable groups.</w:t>
      </w:r>
    </w:p>
    <w:p w14:paraId="77983EE6" w14:textId="5D9A8325" w:rsidR="009711CC" w:rsidRPr="00102605" w:rsidRDefault="009711CC" w:rsidP="00D07B6F">
      <w:pPr>
        <w:pStyle w:val="Prrafodelista"/>
        <w:numPr>
          <w:ilvl w:val="0"/>
          <w:numId w:val="49"/>
        </w:numPr>
        <w:spacing w:after="0" w:line="240" w:lineRule="auto"/>
      </w:pPr>
      <w:r w:rsidRPr="00102605">
        <w:t>To ensure compliance with the regulations regarding working conditions.</w:t>
      </w:r>
    </w:p>
    <w:p w14:paraId="1F51DEE9" w14:textId="77777777" w:rsidR="00D07B6F" w:rsidRDefault="00D07B6F" w:rsidP="00D07B6F">
      <w:pPr>
        <w:spacing w:after="0" w:line="240" w:lineRule="auto"/>
      </w:pPr>
    </w:p>
    <w:p w14:paraId="073ABD78" w14:textId="22E14F96" w:rsidR="00976CF9" w:rsidRDefault="009711CC" w:rsidP="00D07B6F">
      <w:pPr>
        <w:spacing w:after="0" w:line="240" w:lineRule="auto"/>
      </w:pPr>
      <w:r w:rsidRPr="00102605">
        <w:t xml:space="preserve">These safeguards contribute to the promotion of sustainable development, seeking to increase competitiveness, reduce social lags, stop environmental deterioration, support economic </w:t>
      </w:r>
      <w:r w:rsidR="003F3E30" w:rsidRPr="00102605">
        <w:t>development,</w:t>
      </w:r>
      <w:r w:rsidRPr="00102605">
        <w:t xml:space="preserve"> and green growth, and improve the living conditions for the inhabitants of Latin America. Considering climate change is one of the greatest global challenges, these measures further allow to strengthen mitigation and adaptation actions that seek to promote environmental, </w:t>
      </w:r>
      <w:r w:rsidR="003F3E30" w:rsidRPr="00102605">
        <w:t>social,</w:t>
      </w:r>
      <w:r w:rsidRPr="00102605">
        <w:t xml:space="preserve"> and economic sustainability within the region. The following Table provides an overview of the nine environmental and social safeguards established by </w:t>
      </w:r>
      <w:r w:rsidR="003F3E30" w:rsidRPr="00102605">
        <w:t>CAF:</w:t>
      </w:r>
    </w:p>
    <w:p w14:paraId="38B6F726" w14:textId="77777777" w:rsidR="00D07B6F" w:rsidRPr="00102605" w:rsidRDefault="00D07B6F" w:rsidP="00D07B6F">
      <w:pPr>
        <w:spacing w:after="0" w:line="240" w:lineRule="auto"/>
      </w:pPr>
    </w:p>
    <w:p w14:paraId="4399B16F" w14:textId="26C3CF61" w:rsidR="009711CC" w:rsidRPr="00102605" w:rsidRDefault="009711CC" w:rsidP="00D07B6F">
      <w:pPr>
        <w:spacing w:after="0"/>
      </w:pPr>
      <w:r w:rsidRPr="00102605">
        <w:t xml:space="preserve">Table </w:t>
      </w:r>
      <w:r w:rsidRPr="00102605">
        <w:fldChar w:fldCharType="begin"/>
      </w:r>
      <w:r w:rsidRPr="00102605">
        <w:instrText>SEQ Table \* ARABIC</w:instrText>
      </w:r>
      <w:r w:rsidRPr="00102605">
        <w:fldChar w:fldCharType="separate"/>
      </w:r>
      <w:r w:rsidR="00072B3C">
        <w:rPr>
          <w:noProof/>
        </w:rPr>
        <w:t>5</w:t>
      </w:r>
      <w:r w:rsidRPr="00102605">
        <w:fldChar w:fldCharType="end"/>
      </w:r>
      <w:r w:rsidRPr="00102605">
        <w:t>: Overview of CAF ́s Environmental and Social Safeguards</w:t>
      </w:r>
    </w:p>
    <w:tbl>
      <w:tblPr>
        <w:tblStyle w:val="Tablaconcuadrcula"/>
        <w:tblW w:w="9493" w:type="dxa"/>
        <w:tblLook w:val="04A0" w:firstRow="1" w:lastRow="0" w:firstColumn="1" w:lastColumn="0" w:noHBand="0" w:noVBand="1"/>
      </w:tblPr>
      <w:tblGrid>
        <w:gridCol w:w="2376"/>
        <w:gridCol w:w="7117"/>
      </w:tblGrid>
      <w:tr w:rsidR="009711CC" w:rsidRPr="00102605" w14:paraId="2B73D6EB" w14:textId="77777777" w:rsidTr="007618E4">
        <w:trPr>
          <w:tblHeader/>
        </w:trPr>
        <w:tc>
          <w:tcPr>
            <w:tcW w:w="2376" w:type="dxa"/>
            <w:shd w:val="clear" w:color="auto" w:fill="D9E2F3" w:themeFill="accent1" w:themeFillTint="33"/>
            <w:vAlign w:val="center"/>
          </w:tcPr>
          <w:p w14:paraId="2CA9D115" w14:textId="77777777" w:rsidR="009711CC" w:rsidRPr="00102605" w:rsidRDefault="009711CC" w:rsidP="008529F9">
            <w:pPr>
              <w:jc w:val="center"/>
              <w:rPr>
                <w:sz w:val="20"/>
                <w:szCs w:val="20"/>
              </w:rPr>
            </w:pPr>
            <w:r w:rsidRPr="00102605">
              <w:rPr>
                <w:b/>
                <w:sz w:val="20"/>
                <w:szCs w:val="20"/>
              </w:rPr>
              <w:t>CAFs E&amp;S Safeguards</w:t>
            </w:r>
          </w:p>
        </w:tc>
        <w:tc>
          <w:tcPr>
            <w:tcW w:w="7117" w:type="dxa"/>
            <w:shd w:val="clear" w:color="auto" w:fill="D9E2F3" w:themeFill="accent1" w:themeFillTint="33"/>
            <w:vAlign w:val="center"/>
          </w:tcPr>
          <w:p w14:paraId="09C6D206" w14:textId="77777777" w:rsidR="009711CC" w:rsidRPr="00102605" w:rsidRDefault="009711CC" w:rsidP="008529F9">
            <w:pPr>
              <w:jc w:val="center"/>
              <w:rPr>
                <w:b/>
                <w:sz w:val="20"/>
                <w:szCs w:val="20"/>
              </w:rPr>
            </w:pPr>
            <w:r w:rsidRPr="00102605">
              <w:rPr>
                <w:b/>
                <w:sz w:val="20"/>
                <w:szCs w:val="20"/>
              </w:rPr>
              <w:t>Objectives</w:t>
            </w:r>
          </w:p>
        </w:tc>
      </w:tr>
      <w:tr w:rsidR="009711CC" w:rsidRPr="00102605" w14:paraId="031CA972" w14:textId="77777777" w:rsidTr="007618E4">
        <w:tc>
          <w:tcPr>
            <w:tcW w:w="2376" w:type="dxa"/>
            <w:vAlign w:val="center"/>
          </w:tcPr>
          <w:p w14:paraId="1608CBB1" w14:textId="77777777" w:rsidR="009711CC" w:rsidRPr="00102605" w:rsidRDefault="009711CC" w:rsidP="008529F9">
            <w:pPr>
              <w:jc w:val="left"/>
              <w:rPr>
                <w:sz w:val="20"/>
                <w:szCs w:val="20"/>
              </w:rPr>
            </w:pPr>
            <w:r w:rsidRPr="00102605">
              <w:rPr>
                <w:rFonts w:cs="Arial"/>
                <w:sz w:val="20"/>
                <w:szCs w:val="20"/>
              </w:rPr>
              <w:t>S01: Evaluation and management of environmental and social impacts</w:t>
            </w:r>
          </w:p>
        </w:tc>
        <w:tc>
          <w:tcPr>
            <w:tcW w:w="7117" w:type="dxa"/>
            <w:vAlign w:val="center"/>
          </w:tcPr>
          <w:p w14:paraId="6A7B025D" w14:textId="77777777"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establishes the need to carry out </w:t>
            </w:r>
            <w:proofErr w:type="spellStart"/>
            <w:r w:rsidRPr="00102605">
              <w:rPr>
                <w:sz w:val="20"/>
                <w:szCs w:val="20"/>
              </w:rPr>
              <w:t>i</w:t>
            </w:r>
            <w:proofErr w:type="spellEnd"/>
            <w:r w:rsidRPr="00102605">
              <w:rPr>
                <w:sz w:val="20"/>
                <w:szCs w:val="20"/>
              </w:rPr>
              <w:t xml:space="preserve">) environmental and social assessments of operations, ii) the evaluation of risks derived from climate change, iii) the design, implementation and follow-up of environmental and social management measures associated with the operation, and iv) strengthening of the informed, </w:t>
            </w:r>
            <w:proofErr w:type="gramStart"/>
            <w:r w:rsidRPr="00102605">
              <w:rPr>
                <w:sz w:val="20"/>
                <w:szCs w:val="20"/>
              </w:rPr>
              <w:t>active</w:t>
            </w:r>
            <w:proofErr w:type="gramEnd"/>
            <w:r w:rsidRPr="00102605">
              <w:rPr>
                <w:sz w:val="20"/>
                <w:szCs w:val="20"/>
              </w:rPr>
              <w:t xml:space="preserve"> and timely participation of the inhabitants of the areas of influence in the operations that it supports.</w:t>
            </w:r>
          </w:p>
          <w:p w14:paraId="0C16AB6A" w14:textId="1DD27DDF" w:rsidR="009711CC" w:rsidRPr="00102605" w:rsidRDefault="009711CC" w:rsidP="00D81ADD">
            <w:pPr>
              <w:pStyle w:val="Prrafodelista"/>
              <w:numPr>
                <w:ilvl w:val="0"/>
                <w:numId w:val="4"/>
              </w:numPr>
              <w:ind w:left="227" w:hanging="170"/>
              <w:rPr>
                <w:sz w:val="20"/>
                <w:szCs w:val="20"/>
              </w:rPr>
            </w:pPr>
            <w:r w:rsidRPr="00102605">
              <w:rPr>
                <w:sz w:val="20"/>
                <w:szCs w:val="20"/>
              </w:rPr>
              <w:t xml:space="preserve">All projects financed by CAF are in accordance with the environmental legislation of the country where the project is executed, as well as with international agreements and commitments signed by member countries. CAF may request the application of additional precautions or select (internationally accepted) technical references, </w:t>
            </w:r>
            <w:r w:rsidR="00EF1391">
              <w:rPr>
                <w:sz w:val="20"/>
                <w:szCs w:val="20"/>
              </w:rPr>
              <w:t>if</w:t>
            </w:r>
            <w:r w:rsidRPr="00102605">
              <w:rPr>
                <w:sz w:val="20"/>
                <w:szCs w:val="20"/>
              </w:rPr>
              <w:t xml:space="preserve"> deemed necessary.</w:t>
            </w:r>
          </w:p>
          <w:p w14:paraId="5CBABE20" w14:textId="6C8F1116" w:rsidR="009711CC" w:rsidRPr="00102605" w:rsidRDefault="009711CC" w:rsidP="00D81ADD">
            <w:pPr>
              <w:pStyle w:val="Prrafodelista"/>
              <w:numPr>
                <w:ilvl w:val="0"/>
                <w:numId w:val="4"/>
              </w:numPr>
              <w:ind w:left="227" w:hanging="170"/>
              <w:rPr>
                <w:sz w:val="20"/>
                <w:szCs w:val="20"/>
              </w:rPr>
            </w:pPr>
            <w:r w:rsidRPr="00102605">
              <w:rPr>
                <w:sz w:val="20"/>
                <w:szCs w:val="20"/>
              </w:rPr>
              <w:t xml:space="preserve">While all relevant risks and possible environmental and social impacts must be considered in the context of the evaluation, safeguards 2-8 describe the possible risks and environmental and social impacts that require special attention that result in complementary processes related to evaluation, </w:t>
            </w:r>
            <w:proofErr w:type="gramStart"/>
            <w:r w:rsidRPr="00102605">
              <w:rPr>
                <w:sz w:val="20"/>
                <w:szCs w:val="20"/>
              </w:rPr>
              <w:t>management</w:t>
            </w:r>
            <w:proofErr w:type="gramEnd"/>
            <w:r w:rsidRPr="00102605">
              <w:rPr>
                <w:sz w:val="20"/>
                <w:szCs w:val="20"/>
              </w:rPr>
              <w:t xml:space="preserve"> and monitoring.</w:t>
            </w:r>
          </w:p>
        </w:tc>
      </w:tr>
      <w:tr w:rsidR="009711CC" w:rsidRPr="00102605" w14:paraId="59BA2E87" w14:textId="77777777" w:rsidTr="007618E4">
        <w:tc>
          <w:tcPr>
            <w:tcW w:w="2376" w:type="dxa"/>
            <w:vAlign w:val="center"/>
          </w:tcPr>
          <w:p w14:paraId="7D9D2964" w14:textId="77777777" w:rsidR="009711CC" w:rsidRPr="00102605" w:rsidRDefault="009711CC" w:rsidP="008529F9">
            <w:pPr>
              <w:jc w:val="left"/>
              <w:rPr>
                <w:sz w:val="20"/>
                <w:szCs w:val="20"/>
              </w:rPr>
            </w:pPr>
            <w:r w:rsidRPr="00102605">
              <w:rPr>
                <w:rFonts w:cs="Arial"/>
                <w:sz w:val="20"/>
                <w:szCs w:val="20"/>
              </w:rPr>
              <w:t>S02: Utilization of renewable natural resources</w:t>
            </w:r>
          </w:p>
        </w:tc>
        <w:tc>
          <w:tcPr>
            <w:tcW w:w="7117" w:type="dxa"/>
            <w:vAlign w:val="center"/>
          </w:tcPr>
          <w:p w14:paraId="1149DD44" w14:textId="6215D3C8"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promotes and ensures the sustainable use of natural resources, and manages mechanisms to </w:t>
            </w:r>
            <w:proofErr w:type="spellStart"/>
            <w:r w:rsidRPr="00102605">
              <w:rPr>
                <w:sz w:val="20"/>
                <w:szCs w:val="20"/>
              </w:rPr>
              <w:t>i</w:t>
            </w:r>
            <w:proofErr w:type="spellEnd"/>
            <w:r w:rsidRPr="00102605">
              <w:rPr>
                <w:sz w:val="20"/>
                <w:szCs w:val="20"/>
              </w:rPr>
              <w:t xml:space="preserve">) prevent, mitigate and control negative </w:t>
            </w:r>
            <w:r w:rsidR="003F3E30" w:rsidRPr="00102605">
              <w:rPr>
                <w:sz w:val="20"/>
                <w:szCs w:val="20"/>
              </w:rPr>
              <w:t>environmental</w:t>
            </w:r>
            <w:r w:rsidRPr="00102605">
              <w:rPr>
                <w:sz w:val="20"/>
                <w:szCs w:val="20"/>
              </w:rPr>
              <w:t xml:space="preserve"> impacts (</w:t>
            </w:r>
            <w:proofErr w:type="gramStart"/>
            <w:r w:rsidRPr="00102605">
              <w:rPr>
                <w:sz w:val="20"/>
                <w:szCs w:val="20"/>
              </w:rPr>
              <w:t>e.g.</w:t>
            </w:r>
            <w:proofErr w:type="gramEnd"/>
            <w:r w:rsidRPr="00102605">
              <w:rPr>
                <w:sz w:val="20"/>
                <w:szCs w:val="20"/>
              </w:rPr>
              <w:t xml:space="preserve"> pollution, loss of arable land, severe drought or desertification, among others), and ii) promote positive environmental impacts / co-benefits. For this reason, CAF requires the client to establish and implement measures and tools that guarantee the sustainable and effective use of resources, and the application of good conservation practices.  </w:t>
            </w:r>
          </w:p>
        </w:tc>
      </w:tr>
      <w:tr w:rsidR="009711CC" w:rsidRPr="00102605" w14:paraId="4D8FD7E5" w14:textId="77777777" w:rsidTr="007618E4">
        <w:trPr>
          <w:trHeight w:val="274"/>
        </w:trPr>
        <w:tc>
          <w:tcPr>
            <w:tcW w:w="2376" w:type="dxa"/>
            <w:vAlign w:val="center"/>
          </w:tcPr>
          <w:p w14:paraId="5697CD0E" w14:textId="77777777" w:rsidR="009711CC" w:rsidRPr="00102605" w:rsidRDefault="009711CC" w:rsidP="008529F9">
            <w:pPr>
              <w:jc w:val="left"/>
              <w:rPr>
                <w:sz w:val="20"/>
                <w:szCs w:val="20"/>
              </w:rPr>
            </w:pPr>
            <w:r w:rsidRPr="00102605">
              <w:rPr>
                <w:rFonts w:cs="Arial"/>
                <w:sz w:val="20"/>
                <w:szCs w:val="20"/>
              </w:rPr>
              <w:t>S03: Conservation of biological diversity</w:t>
            </w:r>
          </w:p>
        </w:tc>
        <w:tc>
          <w:tcPr>
            <w:tcW w:w="7117" w:type="dxa"/>
            <w:vAlign w:val="center"/>
          </w:tcPr>
          <w:p w14:paraId="18A26E07" w14:textId="77777777"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promotes the conservation of protected areas, critical </w:t>
            </w:r>
            <w:proofErr w:type="gramStart"/>
            <w:r w:rsidRPr="00102605">
              <w:rPr>
                <w:sz w:val="20"/>
                <w:szCs w:val="20"/>
              </w:rPr>
              <w:t>habitats</w:t>
            </w:r>
            <w:proofErr w:type="gramEnd"/>
            <w:r w:rsidRPr="00102605">
              <w:rPr>
                <w:sz w:val="20"/>
                <w:szCs w:val="20"/>
              </w:rPr>
              <w:t xml:space="preserve"> and other sensitive areas according to the relevant legislation of the country in which the operation is carried out and the international norms that apply, financing projects in these areas insofar as this guarantees that the project does not jeopardize the objective of establishing the protected area, nor the sustainability of critical habitats and sensitive areas.</w:t>
            </w:r>
          </w:p>
          <w:p w14:paraId="2A63B126" w14:textId="2E2DA9A0"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considers it essential that all credit operations </w:t>
            </w:r>
            <w:r w:rsidR="003F3E30" w:rsidRPr="00102605">
              <w:rPr>
                <w:sz w:val="20"/>
                <w:szCs w:val="20"/>
              </w:rPr>
              <w:t>consider the</w:t>
            </w:r>
            <w:r w:rsidRPr="00102605">
              <w:rPr>
                <w:sz w:val="20"/>
                <w:szCs w:val="20"/>
              </w:rPr>
              <w:t xml:space="preserve"> potential negative impacts from investments on biodiversity and that appropriate measures to prevent, mitigate, </w:t>
            </w:r>
            <w:r w:rsidR="003F3E30" w:rsidRPr="00102605">
              <w:rPr>
                <w:sz w:val="20"/>
                <w:szCs w:val="20"/>
              </w:rPr>
              <w:t>control,</w:t>
            </w:r>
            <w:r w:rsidRPr="00102605">
              <w:rPr>
                <w:sz w:val="20"/>
                <w:szCs w:val="20"/>
              </w:rPr>
              <w:t xml:space="preserve"> and compensate such impacts are applied.</w:t>
            </w:r>
          </w:p>
        </w:tc>
      </w:tr>
      <w:tr w:rsidR="009711CC" w:rsidRPr="00102605" w14:paraId="1FCDD470" w14:textId="77777777" w:rsidTr="007618E4">
        <w:tc>
          <w:tcPr>
            <w:tcW w:w="2376" w:type="dxa"/>
            <w:vAlign w:val="center"/>
          </w:tcPr>
          <w:p w14:paraId="225A44E9" w14:textId="77777777" w:rsidR="009711CC" w:rsidRPr="00102605" w:rsidRDefault="009711CC" w:rsidP="008529F9">
            <w:pPr>
              <w:jc w:val="left"/>
              <w:rPr>
                <w:sz w:val="20"/>
                <w:szCs w:val="20"/>
              </w:rPr>
            </w:pPr>
            <w:r w:rsidRPr="00102605">
              <w:rPr>
                <w:rFonts w:cs="Arial"/>
                <w:sz w:val="20"/>
                <w:szCs w:val="20"/>
              </w:rPr>
              <w:t>S04: Pollution prevention and management</w:t>
            </w:r>
          </w:p>
        </w:tc>
        <w:tc>
          <w:tcPr>
            <w:tcW w:w="7117" w:type="dxa"/>
            <w:vAlign w:val="center"/>
          </w:tcPr>
          <w:p w14:paraId="7C125484" w14:textId="54F1D9A2"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recognizes that pollution is a critical factor that deteriorates the living conditions of people </w:t>
            </w:r>
            <w:r w:rsidR="003F3E30" w:rsidRPr="00102605">
              <w:rPr>
                <w:sz w:val="20"/>
                <w:szCs w:val="20"/>
              </w:rPr>
              <w:t>and contributes</w:t>
            </w:r>
            <w:r w:rsidRPr="00102605">
              <w:rPr>
                <w:sz w:val="20"/>
                <w:szCs w:val="20"/>
              </w:rPr>
              <w:t xml:space="preserve"> to the degradation of natural resources and loss of </w:t>
            </w:r>
            <w:r w:rsidR="003F3E30" w:rsidRPr="00102605">
              <w:rPr>
                <w:sz w:val="20"/>
                <w:szCs w:val="20"/>
              </w:rPr>
              <w:t>biodiversity in</w:t>
            </w:r>
            <w:r w:rsidRPr="00102605">
              <w:rPr>
                <w:sz w:val="20"/>
                <w:szCs w:val="20"/>
              </w:rPr>
              <w:t xml:space="preserve"> the region. It is thus essential that all credit operations include pollution prevention, </w:t>
            </w:r>
            <w:r w:rsidR="003F3E30" w:rsidRPr="00102605">
              <w:rPr>
                <w:sz w:val="20"/>
                <w:szCs w:val="20"/>
              </w:rPr>
              <w:t>mitigation,</w:t>
            </w:r>
            <w:r w:rsidRPr="00102605">
              <w:rPr>
                <w:sz w:val="20"/>
                <w:szCs w:val="20"/>
              </w:rPr>
              <w:t xml:space="preserve"> and control measures in all environmental components, and promotes in its operations the introduction of measures oriented in this sense.</w:t>
            </w:r>
          </w:p>
          <w:p w14:paraId="66413CCB" w14:textId="77777777" w:rsidR="009711CC" w:rsidRPr="00102605" w:rsidRDefault="009711CC" w:rsidP="00D81ADD">
            <w:pPr>
              <w:pStyle w:val="Prrafodelista"/>
              <w:numPr>
                <w:ilvl w:val="0"/>
                <w:numId w:val="4"/>
              </w:numPr>
              <w:ind w:left="227" w:hanging="170"/>
              <w:rPr>
                <w:sz w:val="20"/>
                <w:szCs w:val="20"/>
              </w:rPr>
            </w:pPr>
            <w:r w:rsidRPr="00102605">
              <w:rPr>
                <w:sz w:val="20"/>
                <w:szCs w:val="20"/>
              </w:rPr>
              <w:t xml:space="preserve">Likewise, in industrial operations, CAF ensures that it such measures are integrated into the production process, including the reduction of pollution and the consumption of natural resources, and the use of clean or renewable energies that contribute to the reduction of GHGs, in the framework of cleared production and energy efficiency. </w:t>
            </w:r>
          </w:p>
          <w:p w14:paraId="6FC626DD" w14:textId="5D3702E0" w:rsidR="009711CC" w:rsidRPr="00102605" w:rsidRDefault="009711CC" w:rsidP="00D81ADD">
            <w:pPr>
              <w:pStyle w:val="Prrafodelista"/>
              <w:numPr>
                <w:ilvl w:val="0"/>
                <w:numId w:val="4"/>
              </w:numPr>
              <w:ind w:left="227" w:hanging="170"/>
              <w:rPr>
                <w:sz w:val="20"/>
                <w:szCs w:val="20"/>
              </w:rPr>
            </w:pPr>
            <w:r w:rsidRPr="00102605">
              <w:rPr>
                <w:sz w:val="20"/>
                <w:szCs w:val="20"/>
              </w:rPr>
              <w:t>CAF applies the precautionary principle, that is, the application of protective measures is requested before the suspicion that certain products or technologies create a serious risk to public health or the environment, in cases where it is deemed necessary</w:t>
            </w:r>
          </w:p>
        </w:tc>
      </w:tr>
      <w:tr w:rsidR="009711CC" w:rsidRPr="00102605" w14:paraId="2EA33EC8" w14:textId="77777777" w:rsidTr="007618E4">
        <w:tc>
          <w:tcPr>
            <w:tcW w:w="2376" w:type="dxa"/>
            <w:vAlign w:val="center"/>
          </w:tcPr>
          <w:p w14:paraId="365B92BF" w14:textId="77777777" w:rsidR="009711CC" w:rsidRPr="00102605" w:rsidRDefault="009711CC" w:rsidP="008529F9">
            <w:pPr>
              <w:jc w:val="left"/>
              <w:rPr>
                <w:sz w:val="20"/>
                <w:szCs w:val="20"/>
              </w:rPr>
            </w:pPr>
            <w:r w:rsidRPr="00102605">
              <w:rPr>
                <w:rFonts w:cs="Arial"/>
                <w:sz w:val="20"/>
                <w:szCs w:val="20"/>
              </w:rPr>
              <w:t>S05: Cultural Heritage</w:t>
            </w:r>
          </w:p>
        </w:tc>
        <w:tc>
          <w:tcPr>
            <w:tcW w:w="7117" w:type="dxa"/>
            <w:vAlign w:val="center"/>
          </w:tcPr>
          <w:p w14:paraId="72197CDB" w14:textId="418AD664" w:rsidR="009711CC" w:rsidRPr="00102605" w:rsidRDefault="009711CC" w:rsidP="00D81ADD">
            <w:pPr>
              <w:pStyle w:val="Prrafodelista"/>
              <w:numPr>
                <w:ilvl w:val="0"/>
                <w:numId w:val="4"/>
              </w:numPr>
              <w:ind w:left="227" w:hanging="170"/>
              <w:rPr>
                <w:sz w:val="20"/>
                <w:szCs w:val="20"/>
              </w:rPr>
            </w:pPr>
            <w:r w:rsidRPr="00102605">
              <w:rPr>
                <w:rFonts w:cs="Arial"/>
                <w:sz w:val="20"/>
                <w:szCs w:val="20"/>
              </w:rPr>
              <w:t xml:space="preserve">CAF recognizes the importance of cultural heritage for communities, and in some cases the global population. Therefore, when there is physical or intangible cultural heritage </w:t>
            </w:r>
            <w:proofErr w:type="gramStart"/>
            <w:r w:rsidRPr="00102605">
              <w:rPr>
                <w:rFonts w:cs="Arial"/>
                <w:sz w:val="20"/>
                <w:szCs w:val="20"/>
              </w:rPr>
              <w:t>in the area of</w:t>
            </w:r>
            <w:proofErr w:type="gramEnd"/>
            <w:r w:rsidRPr="00102605">
              <w:rPr>
                <w:rFonts w:cs="Arial"/>
                <w:sz w:val="20"/>
                <w:szCs w:val="20"/>
              </w:rPr>
              <w:t xml:space="preserve"> influence of the project, CAF requests the presentation of plans for the protection </w:t>
            </w:r>
            <w:r w:rsidR="003F3E30" w:rsidRPr="00102605">
              <w:rPr>
                <w:rFonts w:cs="Arial"/>
                <w:sz w:val="20"/>
                <w:szCs w:val="20"/>
              </w:rPr>
              <w:t>of archaeological</w:t>
            </w:r>
            <w:r w:rsidRPr="00102605">
              <w:rPr>
                <w:rFonts w:cs="Arial"/>
                <w:sz w:val="20"/>
                <w:szCs w:val="20"/>
              </w:rPr>
              <w:t xml:space="preserve">, </w:t>
            </w:r>
            <w:r w:rsidR="003F3E30" w:rsidRPr="00102605">
              <w:rPr>
                <w:rFonts w:cs="Arial"/>
                <w:sz w:val="20"/>
                <w:szCs w:val="20"/>
              </w:rPr>
              <w:t>historical or</w:t>
            </w:r>
            <w:r w:rsidRPr="00102605">
              <w:rPr>
                <w:rFonts w:cs="Arial"/>
                <w:sz w:val="20"/>
                <w:szCs w:val="20"/>
              </w:rPr>
              <w:t xml:space="preserve"> sacred sites, which must be approved by the competent scientific and/or cultural institutions and relevant legislation of the respective country.</w:t>
            </w:r>
          </w:p>
          <w:p w14:paraId="56D7C4BC" w14:textId="36011196" w:rsidR="009711CC" w:rsidRPr="00102605" w:rsidRDefault="009711CC" w:rsidP="00D81ADD">
            <w:pPr>
              <w:pStyle w:val="Prrafodelista"/>
              <w:numPr>
                <w:ilvl w:val="0"/>
                <w:numId w:val="4"/>
              </w:numPr>
              <w:ind w:left="227" w:hanging="170"/>
              <w:rPr>
                <w:sz w:val="20"/>
                <w:szCs w:val="20"/>
              </w:rPr>
            </w:pPr>
            <w:r w:rsidRPr="00102605">
              <w:rPr>
                <w:rFonts w:cs="Arial"/>
                <w:sz w:val="20"/>
                <w:szCs w:val="20"/>
              </w:rPr>
              <w:t xml:space="preserve">In the operations to be developed in areas where archaeological, </w:t>
            </w:r>
            <w:r w:rsidR="003F3E30" w:rsidRPr="00102605">
              <w:rPr>
                <w:rFonts w:cs="Arial"/>
                <w:sz w:val="20"/>
                <w:szCs w:val="20"/>
              </w:rPr>
              <w:t>historical,</w:t>
            </w:r>
            <w:r w:rsidRPr="00102605">
              <w:rPr>
                <w:rFonts w:cs="Arial"/>
                <w:sz w:val="20"/>
                <w:szCs w:val="20"/>
              </w:rPr>
              <w:t xml:space="preserve"> or sacred sites of indigenous peoples and/or people of African descent, the client must guarantee protection and avoid </w:t>
            </w:r>
            <w:r w:rsidR="003F3E30" w:rsidRPr="00102605">
              <w:rPr>
                <w:rFonts w:cs="Arial"/>
                <w:sz w:val="20"/>
                <w:szCs w:val="20"/>
              </w:rPr>
              <w:t>actions that</w:t>
            </w:r>
            <w:r w:rsidRPr="00102605">
              <w:rPr>
                <w:rFonts w:cs="Arial"/>
                <w:sz w:val="20"/>
                <w:szCs w:val="20"/>
              </w:rPr>
              <w:t xml:space="preserve"> directly or indirectly may cause damage.</w:t>
            </w:r>
          </w:p>
        </w:tc>
      </w:tr>
      <w:tr w:rsidR="009711CC" w:rsidRPr="00102605" w14:paraId="201D22DC" w14:textId="77777777" w:rsidTr="007618E4">
        <w:tc>
          <w:tcPr>
            <w:tcW w:w="2376" w:type="dxa"/>
            <w:vAlign w:val="center"/>
          </w:tcPr>
          <w:p w14:paraId="47AC5A5E" w14:textId="77777777" w:rsidR="009711CC" w:rsidRPr="00102605" w:rsidRDefault="009711CC" w:rsidP="008529F9">
            <w:pPr>
              <w:pStyle w:val="TableParagraph"/>
              <w:spacing w:line="221" w:lineRule="exact"/>
              <w:ind w:left="0"/>
              <w:rPr>
                <w:rFonts w:ascii="Times New Roman" w:eastAsia="Times New Roman" w:hAnsi="Times New Roman" w:cs="Times New Roman"/>
                <w:sz w:val="20"/>
                <w:szCs w:val="20"/>
                <w:lang w:val="en-GB" w:eastAsia="es-ES_tradnl"/>
              </w:rPr>
            </w:pPr>
            <w:r w:rsidRPr="00102605">
              <w:rPr>
                <w:rFonts w:ascii="Arial" w:hAnsi="Arial" w:cs="Arial"/>
                <w:sz w:val="20"/>
                <w:szCs w:val="20"/>
                <w:lang w:val="en-GB"/>
              </w:rPr>
              <w:t>S06: Ethnic Groups</w:t>
            </w:r>
          </w:p>
        </w:tc>
        <w:tc>
          <w:tcPr>
            <w:tcW w:w="7117" w:type="dxa"/>
            <w:vAlign w:val="center"/>
          </w:tcPr>
          <w:p w14:paraId="3A13AE93" w14:textId="04AB12B9" w:rsidR="009711CC" w:rsidRPr="00102605" w:rsidRDefault="009711CC" w:rsidP="00D81ADD">
            <w:pPr>
              <w:pStyle w:val="Prrafodelista"/>
              <w:numPr>
                <w:ilvl w:val="0"/>
                <w:numId w:val="4"/>
              </w:numPr>
              <w:ind w:left="227" w:hanging="170"/>
              <w:rPr>
                <w:sz w:val="20"/>
                <w:szCs w:val="20"/>
              </w:rPr>
            </w:pPr>
            <w:r w:rsidRPr="00102605">
              <w:rPr>
                <w:sz w:val="20"/>
                <w:szCs w:val="20"/>
              </w:rPr>
              <w:t xml:space="preserve">CAF recognizes the importance of human cultural diversity in the region and ensures its preservation and strengthening. In this context, for the cases of projects whose area of influence includes ethnic groups or important sacred places, CAF requests the preparation of a specific plan for said groups </w:t>
            </w:r>
            <w:r w:rsidR="008E4468">
              <w:rPr>
                <w:sz w:val="20"/>
                <w:szCs w:val="20"/>
              </w:rPr>
              <w:t>i</w:t>
            </w:r>
            <w:r w:rsidR="008E4468" w:rsidRPr="00CC70E3">
              <w:rPr>
                <w:rFonts w:cs="Arial"/>
                <w:sz w:val="20"/>
                <w:szCs w:val="20"/>
              </w:rPr>
              <w:t xml:space="preserve">n cases where there is direct linkage and attention to </w:t>
            </w:r>
            <w:proofErr w:type="gramStart"/>
            <w:r w:rsidR="008E4468" w:rsidRPr="00CC70E3">
              <w:rPr>
                <w:rFonts w:cs="Arial"/>
                <w:sz w:val="20"/>
                <w:szCs w:val="20"/>
              </w:rPr>
              <w:t>particular peoples</w:t>
            </w:r>
            <w:proofErr w:type="gramEnd"/>
            <w:r w:rsidR="008E4468" w:rsidRPr="00CC70E3">
              <w:rPr>
                <w:rFonts w:cs="Arial"/>
                <w:sz w:val="20"/>
                <w:szCs w:val="20"/>
              </w:rPr>
              <w:t xml:space="preserve"> and ethnic groups involved, a specific plan to guarantee their rights will be requested, safeguard their physical, territorial, social, cultural and economic integrity</w:t>
            </w:r>
            <w:r w:rsidR="008E4468">
              <w:rPr>
                <w:rFonts w:cs="Arial"/>
                <w:sz w:val="20"/>
                <w:szCs w:val="20"/>
              </w:rPr>
              <w:t xml:space="preserve">. </w:t>
            </w:r>
            <w:r w:rsidR="008E4468" w:rsidRPr="00CC70E3">
              <w:rPr>
                <w:rFonts w:cs="Arial"/>
                <w:sz w:val="20"/>
                <w:szCs w:val="20"/>
              </w:rPr>
              <w:t xml:space="preserve">A culturally appropriate, </w:t>
            </w:r>
            <w:proofErr w:type="gramStart"/>
            <w:r w:rsidR="008E4468" w:rsidRPr="00CC70E3">
              <w:rPr>
                <w:rFonts w:cs="Arial"/>
                <w:sz w:val="20"/>
                <w:szCs w:val="20"/>
              </w:rPr>
              <w:t>free</w:t>
            </w:r>
            <w:proofErr w:type="gramEnd"/>
            <w:r w:rsidR="008E4468" w:rsidRPr="00CC70E3">
              <w:rPr>
                <w:rFonts w:cs="Arial"/>
                <w:sz w:val="20"/>
                <w:szCs w:val="20"/>
              </w:rPr>
              <w:t xml:space="preserve"> and informed prior consultation process will be guaranty and   promotes direct benefits to the populations involved will also be sought.</w:t>
            </w:r>
          </w:p>
        </w:tc>
      </w:tr>
      <w:tr w:rsidR="009711CC" w:rsidRPr="00102605" w14:paraId="4035AF3D" w14:textId="77777777" w:rsidTr="007618E4">
        <w:tc>
          <w:tcPr>
            <w:tcW w:w="2376" w:type="dxa"/>
            <w:vAlign w:val="center"/>
          </w:tcPr>
          <w:p w14:paraId="18CF0327" w14:textId="77777777" w:rsidR="009711CC" w:rsidRPr="00102605" w:rsidRDefault="009711CC" w:rsidP="008529F9">
            <w:pPr>
              <w:jc w:val="left"/>
              <w:rPr>
                <w:sz w:val="20"/>
                <w:szCs w:val="20"/>
              </w:rPr>
            </w:pPr>
            <w:r w:rsidRPr="00102605">
              <w:rPr>
                <w:rFonts w:cs="Arial"/>
                <w:sz w:val="20"/>
                <w:szCs w:val="20"/>
              </w:rPr>
              <w:t>S07: Resettlement</w:t>
            </w:r>
          </w:p>
        </w:tc>
        <w:tc>
          <w:tcPr>
            <w:tcW w:w="7117" w:type="dxa"/>
            <w:vAlign w:val="center"/>
          </w:tcPr>
          <w:p w14:paraId="58B8AF9B" w14:textId="77777777" w:rsidR="009711CC" w:rsidRPr="00102605" w:rsidRDefault="009711CC" w:rsidP="00D81ADD">
            <w:pPr>
              <w:pStyle w:val="Prrafodelista"/>
              <w:numPr>
                <w:ilvl w:val="0"/>
                <w:numId w:val="4"/>
              </w:numPr>
              <w:ind w:left="227" w:hanging="170"/>
              <w:rPr>
                <w:sz w:val="20"/>
                <w:szCs w:val="20"/>
              </w:rPr>
            </w:pPr>
            <w:r w:rsidRPr="00102605">
              <w:rPr>
                <w:rFonts w:cs="Arial"/>
                <w:sz w:val="20"/>
                <w:szCs w:val="20"/>
              </w:rPr>
              <w:t xml:space="preserve">In operations that require the acquisition or use of lands that imply the physical or economic displacement of the people residing there and/or deriving their livelihood, and/or the resettlement and/or relocation of human groups, CAF requests the elaboration of a Resettlement Plan or Socio-Economic Conditions Resettlement Plan. Such plans will be established </w:t>
            </w:r>
            <w:proofErr w:type="gramStart"/>
            <w:r w:rsidRPr="00102605">
              <w:rPr>
                <w:rFonts w:cs="Arial"/>
                <w:sz w:val="20"/>
                <w:szCs w:val="20"/>
              </w:rPr>
              <w:t>in order to</w:t>
            </w:r>
            <w:proofErr w:type="gramEnd"/>
            <w:r w:rsidRPr="00102605">
              <w:rPr>
                <w:rFonts w:cs="Arial"/>
                <w:sz w:val="20"/>
                <w:szCs w:val="20"/>
              </w:rPr>
              <w:t xml:space="preserve"> improve or at least restore the living conditions of displaced people, as well as of any organization or entity that develops a project or activity on a territory that causes compulsory displacement, resettle people to reduce the risk of impoverishment of the displaced and the deterioration of the quality of life of the people who will continue to live in the place.</w:t>
            </w:r>
          </w:p>
        </w:tc>
      </w:tr>
      <w:tr w:rsidR="009711CC" w:rsidRPr="00102605" w14:paraId="7253053D" w14:textId="77777777" w:rsidTr="007618E4">
        <w:tc>
          <w:tcPr>
            <w:tcW w:w="2376" w:type="dxa"/>
            <w:vAlign w:val="center"/>
          </w:tcPr>
          <w:p w14:paraId="6690A082" w14:textId="77777777" w:rsidR="009711CC" w:rsidRPr="00102605" w:rsidRDefault="009711CC" w:rsidP="008529F9">
            <w:pPr>
              <w:jc w:val="left"/>
              <w:rPr>
                <w:sz w:val="20"/>
                <w:szCs w:val="20"/>
              </w:rPr>
            </w:pPr>
            <w:r w:rsidRPr="00102605">
              <w:rPr>
                <w:rFonts w:cs="Arial"/>
                <w:sz w:val="20"/>
                <w:szCs w:val="20"/>
              </w:rPr>
              <w:t>S08: Working Conditions and Training</w:t>
            </w:r>
          </w:p>
        </w:tc>
        <w:tc>
          <w:tcPr>
            <w:tcW w:w="7117" w:type="dxa"/>
            <w:vAlign w:val="center"/>
          </w:tcPr>
          <w:p w14:paraId="556A83E7" w14:textId="63140EB8" w:rsidR="009711CC" w:rsidRPr="00102605" w:rsidRDefault="009711CC" w:rsidP="00D81ADD">
            <w:pPr>
              <w:pStyle w:val="Prrafodelista"/>
              <w:numPr>
                <w:ilvl w:val="0"/>
                <w:numId w:val="4"/>
              </w:numPr>
              <w:ind w:left="227" w:hanging="170"/>
              <w:rPr>
                <w:sz w:val="20"/>
                <w:szCs w:val="20"/>
              </w:rPr>
            </w:pPr>
            <w:r w:rsidRPr="00102605">
              <w:rPr>
                <w:rFonts w:cs="Arial"/>
                <w:sz w:val="20"/>
                <w:szCs w:val="20"/>
              </w:rPr>
              <w:t xml:space="preserve">CAF ensures the voluntary, dignified and just work of the people, and that workers have the right to safe and healthy </w:t>
            </w:r>
            <w:r w:rsidR="003F3E30" w:rsidRPr="00102605">
              <w:rPr>
                <w:rFonts w:cs="Arial"/>
                <w:sz w:val="20"/>
                <w:szCs w:val="20"/>
              </w:rPr>
              <w:t>working conditions</w:t>
            </w:r>
            <w:r w:rsidRPr="00102605">
              <w:rPr>
                <w:rFonts w:cs="Arial"/>
                <w:sz w:val="20"/>
                <w:szCs w:val="20"/>
              </w:rPr>
              <w:t>, through prevention and control of diseases and accidents, and the elimination of factors and conditions that put in danger the health and safety of workers. CAF does not finance projects that involve the direct or indirect exploitation of minors. In addition, CAF promotes the training of workers in the operation it finances.</w:t>
            </w:r>
          </w:p>
        </w:tc>
      </w:tr>
      <w:tr w:rsidR="009711CC" w:rsidRPr="00102605" w14:paraId="14612B96" w14:textId="77777777" w:rsidTr="007618E4">
        <w:tc>
          <w:tcPr>
            <w:tcW w:w="2376" w:type="dxa"/>
            <w:vAlign w:val="center"/>
          </w:tcPr>
          <w:p w14:paraId="75FCEA92" w14:textId="77777777" w:rsidR="009711CC" w:rsidRPr="00102605" w:rsidRDefault="009711CC" w:rsidP="008529F9">
            <w:pPr>
              <w:jc w:val="left"/>
              <w:rPr>
                <w:rFonts w:cs="Arial"/>
                <w:sz w:val="20"/>
                <w:szCs w:val="20"/>
              </w:rPr>
            </w:pPr>
            <w:r w:rsidRPr="00102605">
              <w:rPr>
                <w:rFonts w:cs="Arial"/>
                <w:sz w:val="20"/>
                <w:szCs w:val="20"/>
              </w:rPr>
              <w:t>S09: Gender Equity</w:t>
            </w:r>
          </w:p>
        </w:tc>
        <w:tc>
          <w:tcPr>
            <w:tcW w:w="7117" w:type="dxa"/>
            <w:vAlign w:val="center"/>
          </w:tcPr>
          <w:p w14:paraId="1D297816" w14:textId="77777777" w:rsidR="008733BF" w:rsidRDefault="009711CC" w:rsidP="00D81ADD">
            <w:pPr>
              <w:pStyle w:val="Prrafodelista"/>
              <w:numPr>
                <w:ilvl w:val="0"/>
                <w:numId w:val="4"/>
              </w:numPr>
              <w:ind w:left="227" w:hanging="170"/>
              <w:rPr>
                <w:rFonts w:cs="Arial"/>
                <w:sz w:val="20"/>
                <w:szCs w:val="20"/>
              </w:rPr>
            </w:pPr>
            <w:r w:rsidRPr="00102605">
              <w:rPr>
                <w:rFonts w:cs="Arial"/>
                <w:sz w:val="20"/>
                <w:szCs w:val="20"/>
              </w:rPr>
              <w:t xml:space="preserve">CAF promotes gender equity in the operations it finances. For this, it demands in operations that finance there is no gender discrimination, women ́s access is encouraged to positions of decision and equal </w:t>
            </w:r>
            <w:r w:rsidR="003F3E30" w:rsidRPr="00102605">
              <w:rPr>
                <w:rFonts w:cs="Arial"/>
                <w:sz w:val="20"/>
                <w:szCs w:val="20"/>
              </w:rPr>
              <w:t>remuneration for</w:t>
            </w:r>
            <w:r w:rsidRPr="00102605">
              <w:rPr>
                <w:rFonts w:cs="Arial"/>
                <w:sz w:val="20"/>
                <w:szCs w:val="20"/>
              </w:rPr>
              <w:t xml:space="preserve"> men and women in similar positions, as well as the positive differentiation towards women who are in a situation of accentuated vulnerability, </w:t>
            </w:r>
            <w:proofErr w:type="gramStart"/>
            <w:r w:rsidRPr="00102605">
              <w:rPr>
                <w:rFonts w:cs="Arial"/>
                <w:sz w:val="20"/>
                <w:szCs w:val="20"/>
              </w:rPr>
              <w:t>risk</w:t>
            </w:r>
            <w:proofErr w:type="gramEnd"/>
            <w:r w:rsidRPr="00102605">
              <w:rPr>
                <w:rFonts w:cs="Arial"/>
                <w:sz w:val="20"/>
                <w:szCs w:val="20"/>
              </w:rPr>
              <w:t xml:space="preserve"> or inequality.</w:t>
            </w:r>
          </w:p>
          <w:p w14:paraId="02BFD529" w14:textId="506C3875" w:rsidR="00402818" w:rsidRPr="00402818" w:rsidRDefault="00402818" w:rsidP="00D81ADD">
            <w:pPr>
              <w:pStyle w:val="Prrafodelista"/>
              <w:numPr>
                <w:ilvl w:val="0"/>
                <w:numId w:val="4"/>
              </w:numPr>
              <w:ind w:left="227" w:hanging="170"/>
              <w:rPr>
                <w:rFonts w:cs="Arial"/>
                <w:sz w:val="20"/>
                <w:szCs w:val="20"/>
              </w:rPr>
            </w:pPr>
            <w:r w:rsidRPr="0047380A">
              <w:rPr>
                <w:rFonts w:cs="Arial"/>
                <w:sz w:val="20"/>
                <w:szCs w:val="20"/>
              </w:rPr>
              <w:t>Issues associated with Gender-Based Violence are specifically addressed in this safeguard, as well as through S01, S06 and S08.</w:t>
            </w:r>
          </w:p>
        </w:tc>
      </w:tr>
    </w:tbl>
    <w:p w14:paraId="7FAE6E7B" w14:textId="77777777" w:rsidR="009711CC" w:rsidRPr="00D07B6F" w:rsidRDefault="009711CC" w:rsidP="00D07B6F">
      <w:pPr>
        <w:spacing w:after="0" w:line="240" w:lineRule="auto"/>
        <w:jc w:val="center"/>
        <w:rPr>
          <w:i/>
          <w:iCs/>
          <w:sz w:val="24"/>
          <w:szCs w:val="24"/>
        </w:rPr>
      </w:pPr>
      <w:r w:rsidRPr="00D07B6F">
        <w:rPr>
          <w:rFonts w:cs="Arial"/>
          <w:i/>
          <w:iCs/>
          <w:sz w:val="20"/>
          <w:szCs w:val="20"/>
        </w:rPr>
        <w:t>Source: CAF 2016a</w:t>
      </w:r>
    </w:p>
    <w:p w14:paraId="05C55881" w14:textId="1F48AC53" w:rsidR="001F7D9C" w:rsidRDefault="001F7D9C" w:rsidP="00D07B6F">
      <w:pPr>
        <w:spacing w:after="0" w:line="240" w:lineRule="auto"/>
        <w:rPr>
          <w:rFonts w:cs="Arial"/>
          <w:bCs/>
        </w:rPr>
      </w:pPr>
    </w:p>
    <w:p w14:paraId="07B34984" w14:textId="31F9EC58" w:rsidR="004E4C8E" w:rsidRPr="00102605" w:rsidRDefault="006A0DB7" w:rsidP="00D07B6F">
      <w:pPr>
        <w:pStyle w:val="Ttulo1"/>
        <w:numPr>
          <w:ilvl w:val="0"/>
          <w:numId w:val="1"/>
        </w:numPr>
        <w:spacing w:before="0" w:after="0" w:line="240" w:lineRule="auto"/>
        <w:ind w:left="357" w:hanging="357"/>
      </w:pPr>
      <w:bookmarkStart w:id="22" w:name="_Toc114152212"/>
      <w:r w:rsidRPr="00102605">
        <w:t xml:space="preserve">Evaluation of </w:t>
      </w:r>
      <w:r w:rsidR="003E28CA" w:rsidRPr="00102605">
        <w:t>e</w:t>
      </w:r>
      <w:r w:rsidR="004E4C8E" w:rsidRPr="00102605">
        <w:t xml:space="preserve">nvironmental and </w:t>
      </w:r>
      <w:r w:rsidR="003E28CA" w:rsidRPr="00102605">
        <w:t>s</w:t>
      </w:r>
      <w:r w:rsidR="004E4C8E" w:rsidRPr="00102605">
        <w:t>ocial impacts</w:t>
      </w:r>
      <w:r w:rsidR="00DA60C6" w:rsidRPr="00102605">
        <w:t xml:space="preserve"> </w:t>
      </w:r>
      <w:r w:rsidR="005914EB">
        <w:t>–</w:t>
      </w:r>
      <w:r w:rsidR="00DA60C6" w:rsidRPr="00102605">
        <w:t xml:space="preserve"> Environmental and Social Analysis (ESA)</w:t>
      </w:r>
      <w:r w:rsidR="004E4C8E" w:rsidRPr="00102605">
        <w:t xml:space="preserve"> </w:t>
      </w:r>
      <w:bookmarkEnd w:id="22"/>
    </w:p>
    <w:p w14:paraId="390BEE66" w14:textId="77777777" w:rsidR="00A0575B" w:rsidRDefault="00A0575B" w:rsidP="00D07B6F">
      <w:pPr>
        <w:shd w:val="clear" w:color="auto" w:fill="FFFFFF" w:themeFill="background1"/>
        <w:spacing w:after="0" w:line="240" w:lineRule="auto"/>
      </w:pPr>
    </w:p>
    <w:p w14:paraId="0417F7D1" w14:textId="073539F4" w:rsidR="004E4C8E" w:rsidRDefault="004E4C8E" w:rsidP="00D07B6F">
      <w:pPr>
        <w:shd w:val="clear" w:color="auto" w:fill="FFFFFF" w:themeFill="background1"/>
        <w:spacing w:after="0" w:line="240" w:lineRule="auto"/>
      </w:pPr>
      <w:r w:rsidRPr="00102605">
        <w:t xml:space="preserve">Overall, it is expected that the </w:t>
      </w:r>
      <w:r w:rsidR="004D41E4" w:rsidRPr="00102605">
        <w:t>Sub-Program 2</w:t>
      </w:r>
      <w:r w:rsidRPr="00102605">
        <w:t xml:space="preserve"> presents a</w:t>
      </w:r>
      <w:r w:rsidR="00CD0008">
        <w:t xml:space="preserve"> risk category B</w:t>
      </w:r>
      <w:r w:rsidR="002C0D6B">
        <w:t xml:space="preserve">, </w:t>
      </w:r>
      <w:r w:rsidRPr="00102605">
        <w:t xml:space="preserve">low to moderate risk, financing only category C and B risk </w:t>
      </w:r>
      <w:r w:rsidR="005914EB">
        <w:t>sub-</w:t>
      </w:r>
      <w:r w:rsidRPr="00102605">
        <w:t>projects</w:t>
      </w:r>
      <w:r w:rsidR="00435457">
        <w:t>.</w:t>
      </w:r>
      <w:r w:rsidRPr="00102605">
        <w:t xml:space="preserve"> </w:t>
      </w:r>
      <w:r w:rsidR="00435457">
        <w:t>H</w:t>
      </w:r>
      <w:r w:rsidRPr="00102605">
        <w:t xml:space="preserve">igh risk “category A” </w:t>
      </w:r>
      <w:r w:rsidR="005914EB">
        <w:t>sub-</w:t>
      </w:r>
      <w:r w:rsidRPr="00102605">
        <w:t xml:space="preserve">projects will be excluded. A list of excluded </w:t>
      </w:r>
      <w:r w:rsidR="005914EB">
        <w:t>sub-</w:t>
      </w:r>
      <w:r w:rsidRPr="00102605">
        <w:t>projects that will not be eligible for financing is presented in Annex 1.</w:t>
      </w:r>
    </w:p>
    <w:p w14:paraId="49A8E255" w14:textId="77777777" w:rsidR="00D07B6F" w:rsidRPr="00102605" w:rsidRDefault="00D07B6F" w:rsidP="00D07B6F">
      <w:pPr>
        <w:shd w:val="clear" w:color="auto" w:fill="FFFFFF" w:themeFill="background1"/>
        <w:spacing w:after="0" w:line="240" w:lineRule="auto"/>
      </w:pPr>
    </w:p>
    <w:p w14:paraId="268ABC82" w14:textId="1FFD0495" w:rsidR="004E4C8E" w:rsidRDefault="004E4C8E" w:rsidP="00D07B6F">
      <w:pPr>
        <w:shd w:val="clear" w:color="auto" w:fill="FFFFFF" w:themeFill="background1"/>
        <w:spacing w:after="0" w:line="240" w:lineRule="auto"/>
      </w:pPr>
      <w:r w:rsidRPr="00102605">
        <w:t xml:space="preserve">The </w:t>
      </w:r>
      <w:r w:rsidR="004D41E4" w:rsidRPr="00102605">
        <w:t>Sub-Program 2</w:t>
      </w:r>
      <w:r w:rsidRPr="00102605">
        <w:t xml:space="preserve"> is anticipated to generate numerous positive social, </w:t>
      </w:r>
      <w:r w:rsidR="003F3E30" w:rsidRPr="00102605">
        <w:t>economic,</w:t>
      </w:r>
      <w:r w:rsidRPr="00102605">
        <w:t xml:space="preserve"> and environmental co-benefits in addition to the direct climate benefits. Nonetheless, there are potential impacts that could occur </w:t>
      </w:r>
      <w:proofErr w:type="gramStart"/>
      <w:r w:rsidRPr="00102605">
        <w:t>as a result of</w:t>
      </w:r>
      <w:proofErr w:type="gramEnd"/>
      <w:r w:rsidRPr="00102605">
        <w:t xml:space="preserve"> the implementation of the </w:t>
      </w:r>
      <w:r w:rsidR="005914EB">
        <w:t>sub-</w:t>
      </w:r>
      <w:r w:rsidRPr="00102605">
        <w:t>project.</w:t>
      </w:r>
    </w:p>
    <w:p w14:paraId="624DD2F6" w14:textId="77777777" w:rsidR="00D07B6F" w:rsidRPr="00102605" w:rsidRDefault="00D07B6F" w:rsidP="00D07B6F">
      <w:pPr>
        <w:shd w:val="clear" w:color="auto" w:fill="FFFFFF" w:themeFill="background1"/>
        <w:spacing w:after="0" w:line="240" w:lineRule="auto"/>
      </w:pPr>
    </w:p>
    <w:p w14:paraId="336E87D1" w14:textId="7E44891F" w:rsidR="004E4C8E" w:rsidRDefault="004E4C8E" w:rsidP="00D07B6F">
      <w:pPr>
        <w:shd w:val="clear" w:color="auto" w:fill="FFFFFF" w:themeFill="background1"/>
        <w:spacing w:after="0" w:line="240" w:lineRule="auto"/>
      </w:pPr>
      <w:r w:rsidRPr="00102605">
        <w:t>This section provides an overview of positive impacts and potential adverse impacts as well as related mitigation options</w:t>
      </w:r>
      <w:r w:rsidR="002061DB">
        <w:t xml:space="preserve">.  </w:t>
      </w:r>
      <w:r w:rsidR="00765698">
        <w:t xml:space="preserve">The </w:t>
      </w:r>
      <w:r w:rsidR="00765698" w:rsidRPr="00102605">
        <w:rPr>
          <w:lang w:eastAsia="es-ES_tradnl"/>
        </w:rPr>
        <w:t xml:space="preserve">table </w:t>
      </w:r>
      <w:r w:rsidR="00765698">
        <w:rPr>
          <w:lang w:eastAsia="es-ES_tradnl"/>
        </w:rPr>
        <w:t>i</w:t>
      </w:r>
      <w:r w:rsidR="002061DB">
        <w:t xml:space="preserve">n the chapter 6. Sub-Program 2´s Environmental and Social Management Framework, </w:t>
      </w:r>
      <w:r w:rsidR="00765698">
        <w:t>section</w:t>
      </w:r>
      <w:r w:rsidR="002061DB">
        <w:t xml:space="preserve"> 6.1. Analysis of compliance with the standards of Environmental and Social Safeguards, </w:t>
      </w:r>
      <w:r w:rsidR="002061DB" w:rsidRPr="00102605">
        <w:rPr>
          <w:lang w:eastAsia="es-ES_tradnl"/>
        </w:rPr>
        <w:t xml:space="preserve">presents additional measures suggested by CAF to ensure the ESMF of Sub-Program 2 meets all the standards in CAF´s Environmental and Social Safeguards, including which safeguards are triggered for the program and what will be required at the sub-program/ </w:t>
      </w:r>
      <w:r w:rsidR="002061DB">
        <w:rPr>
          <w:lang w:eastAsia="es-ES_tradnl"/>
        </w:rPr>
        <w:t>sub-</w:t>
      </w:r>
      <w:r w:rsidR="002061DB" w:rsidRPr="00102605">
        <w:rPr>
          <w:lang w:eastAsia="es-ES_tradnl"/>
        </w:rPr>
        <w:t>project level. All activities financed under Sub-Program 2 will require compliance with the applicable CAF´s E&amp;S Standards part of the Loan Agreement clauses</w:t>
      </w:r>
      <w:r w:rsidRPr="00102605">
        <w:t>.</w:t>
      </w:r>
    </w:p>
    <w:p w14:paraId="264D72A2" w14:textId="77777777" w:rsidR="00D07B6F" w:rsidRPr="00102605" w:rsidRDefault="00D07B6F" w:rsidP="00D07B6F">
      <w:pPr>
        <w:shd w:val="clear" w:color="auto" w:fill="FFFFFF" w:themeFill="background1"/>
        <w:spacing w:after="0" w:line="240" w:lineRule="auto"/>
      </w:pPr>
    </w:p>
    <w:p w14:paraId="325D266E" w14:textId="77777777" w:rsidR="004E4C8E" w:rsidRPr="00102605" w:rsidRDefault="004E4C8E" w:rsidP="00E45BBC">
      <w:pPr>
        <w:pStyle w:val="Ttulo1"/>
        <w:numPr>
          <w:ilvl w:val="1"/>
          <w:numId w:val="1"/>
        </w:numPr>
        <w:spacing w:before="0" w:after="0" w:line="240" w:lineRule="auto"/>
        <w:ind w:left="567" w:hanging="567"/>
      </w:pPr>
      <w:bookmarkStart w:id="23" w:name="_Toc114152213"/>
      <w:r w:rsidRPr="00102605">
        <w:t>Positive impacts</w:t>
      </w:r>
      <w:bookmarkEnd w:id="23"/>
      <w:r w:rsidRPr="00102605">
        <w:t xml:space="preserve"> </w:t>
      </w:r>
    </w:p>
    <w:p w14:paraId="3A982B12" w14:textId="48A591C9" w:rsidR="004E4C8E" w:rsidRDefault="004E4C8E" w:rsidP="00D07B6F">
      <w:pPr>
        <w:shd w:val="clear" w:color="auto" w:fill="FFFFFF" w:themeFill="background1"/>
        <w:spacing w:after="0" w:line="240" w:lineRule="auto"/>
      </w:pPr>
      <w:r w:rsidRPr="00102605">
        <w:t xml:space="preserve">The positive impact of </w:t>
      </w:r>
      <w:r w:rsidR="00143368">
        <w:t>EVs</w:t>
      </w:r>
      <w:r w:rsidRPr="00102605">
        <w:t xml:space="preserve"> comprise</w:t>
      </w:r>
      <w:r w:rsidR="009372B7" w:rsidRPr="00102605">
        <w:t>s</w:t>
      </w:r>
      <w:r w:rsidRPr="00102605">
        <w:t xml:space="preserve"> reduced GHG emissions, reduced air pollution, reduced noise levels, reduced dependence on fossil fuels and increased energy efficiency. </w:t>
      </w:r>
    </w:p>
    <w:p w14:paraId="32DC110E" w14:textId="17A5C6FA" w:rsidR="00A0575B" w:rsidRDefault="00A0575B" w:rsidP="00D07B6F">
      <w:pPr>
        <w:shd w:val="clear" w:color="auto" w:fill="FFFFFF" w:themeFill="background1"/>
        <w:spacing w:after="0" w:line="240" w:lineRule="auto"/>
      </w:pPr>
    </w:p>
    <w:p w14:paraId="1F451E37" w14:textId="76C522F8" w:rsidR="003A0FE4" w:rsidRPr="00102605" w:rsidRDefault="003A0FE4" w:rsidP="00D07B6F">
      <w:pPr>
        <w:spacing w:after="0" w:line="240" w:lineRule="auto"/>
        <w:rPr>
          <w:b/>
          <w:bCs/>
          <w:u w:val="single"/>
          <w:lang w:eastAsia="es-ES"/>
        </w:rPr>
      </w:pPr>
      <w:r w:rsidRPr="00102605">
        <w:rPr>
          <w:b/>
          <w:bCs/>
          <w:u w:val="single"/>
          <w:lang w:eastAsia="es-ES"/>
        </w:rPr>
        <w:t>Direct mitigation potential from EV investments</w:t>
      </w:r>
    </w:p>
    <w:p w14:paraId="7AB91499" w14:textId="6965BA05" w:rsidR="004E4C8E" w:rsidRDefault="004E4C8E" w:rsidP="00D07B6F">
      <w:pPr>
        <w:spacing w:after="0" w:line="240" w:lineRule="auto"/>
        <w:rPr>
          <w:color w:val="000000" w:themeColor="text1"/>
          <w:lang w:eastAsia="ja-JP"/>
        </w:rPr>
      </w:pPr>
      <w:r w:rsidRPr="00102605">
        <w:rPr>
          <w:color w:val="000000" w:themeColor="text1"/>
          <w:lang w:eastAsia="ja-JP"/>
        </w:rPr>
        <w:t xml:space="preserve">The expected GCF fund-level impacts are a reduction of GHG emissions through increased access to low-emission transportation resulting in direct emissions reductions of </w:t>
      </w:r>
      <w:r w:rsidR="003A0FE4" w:rsidRPr="00102605">
        <w:rPr>
          <w:color w:val="000000" w:themeColor="text1"/>
          <w:lang w:eastAsia="ja-JP"/>
        </w:rPr>
        <w:t>780</w:t>
      </w:r>
      <w:r w:rsidRPr="00102605">
        <w:rPr>
          <w:color w:val="000000" w:themeColor="text1"/>
          <w:lang w:eastAsia="ja-JP"/>
        </w:rPr>
        <w:t>,000 tCO</w:t>
      </w:r>
      <w:r w:rsidRPr="00102605">
        <w:rPr>
          <w:color w:val="000000" w:themeColor="text1"/>
          <w:vertAlign w:val="subscript"/>
          <w:lang w:eastAsia="ja-JP"/>
        </w:rPr>
        <w:t>2</w:t>
      </w:r>
      <w:r w:rsidRPr="00102605">
        <w:rPr>
          <w:rFonts w:asciiTheme="minorBidi" w:hAnsiTheme="minorBidi"/>
          <w:color w:val="000000" w:themeColor="text1"/>
          <w:sz w:val="20"/>
          <w:szCs w:val="20"/>
          <w:vertAlign w:val="subscript"/>
          <w:lang w:eastAsia="ja-JP"/>
        </w:rPr>
        <w:t>e</w:t>
      </w:r>
      <w:r w:rsidRPr="00102605">
        <w:rPr>
          <w:color w:val="000000" w:themeColor="text1"/>
          <w:lang w:eastAsia="ja-JP"/>
        </w:rPr>
        <w:t xml:space="preserve"> over the assets lifetime of investments co-financed by the </w:t>
      </w:r>
      <w:r w:rsidR="004D41E4" w:rsidRPr="00102605">
        <w:rPr>
          <w:color w:val="000000" w:themeColor="text1"/>
          <w:lang w:eastAsia="ja-JP"/>
        </w:rPr>
        <w:t>Sub-Program 2</w:t>
      </w:r>
      <w:r w:rsidRPr="00102605">
        <w:rPr>
          <w:rStyle w:val="Refdenotaalpie"/>
          <w:color w:val="000000" w:themeColor="text1"/>
          <w:lang w:eastAsia="ja-JP"/>
        </w:rPr>
        <w:footnoteReference w:id="29"/>
      </w:r>
      <w:r w:rsidRPr="00102605">
        <w:rPr>
          <w:color w:val="000000" w:themeColor="text1"/>
          <w:lang w:eastAsia="ja-JP"/>
        </w:rPr>
        <w:t xml:space="preserve"> (see</w:t>
      </w:r>
      <w:r w:rsidR="002E01C7" w:rsidRPr="00102605">
        <w:rPr>
          <w:color w:val="000000" w:themeColor="text1"/>
          <w:lang w:eastAsia="ja-JP"/>
        </w:rPr>
        <w:t xml:space="preserve"> </w:t>
      </w:r>
      <w:r w:rsidR="005C1770" w:rsidRPr="00102605">
        <w:rPr>
          <w:color w:val="000000" w:themeColor="text1"/>
          <w:lang w:eastAsia="ja-JP"/>
        </w:rPr>
        <w:t>Table 3</w:t>
      </w:r>
      <w:r w:rsidRPr="00102605">
        <w:rPr>
          <w:color w:val="000000" w:themeColor="text1"/>
          <w:lang w:eastAsia="ja-JP"/>
        </w:rPr>
        <w:t>).</w:t>
      </w:r>
    </w:p>
    <w:p w14:paraId="41A165AA" w14:textId="77777777" w:rsidR="00A0575B" w:rsidRPr="00102605" w:rsidRDefault="00A0575B" w:rsidP="00D07B6F">
      <w:pPr>
        <w:spacing w:after="0" w:line="240" w:lineRule="auto"/>
        <w:rPr>
          <w:color w:val="000000" w:themeColor="text1"/>
          <w:lang w:eastAsia="ja-JP"/>
        </w:rPr>
      </w:pPr>
    </w:p>
    <w:p w14:paraId="2958213A" w14:textId="77029A76" w:rsidR="004E4C8E" w:rsidRPr="00102605" w:rsidRDefault="004E4C8E" w:rsidP="00D07B6F">
      <w:pPr>
        <w:spacing w:after="0"/>
      </w:pPr>
      <w:r w:rsidRPr="00102605">
        <w:t xml:space="preserve">Table </w:t>
      </w:r>
      <w:r>
        <w:fldChar w:fldCharType="begin"/>
      </w:r>
      <w:r>
        <w:instrText>SEQ Table \* ARABIC</w:instrText>
      </w:r>
      <w:r>
        <w:fldChar w:fldCharType="separate"/>
      </w:r>
      <w:r w:rsidR="00072B3C">
        <w:rPr>
          <w:noProof/>
        </w:rPr>
        <w:t>6</w:t>
      </w:r>
      <w:r>
        <w:fldChar w:fldCharType="end"/>
      </w:r>
      <w:r w:rsidRPr="00102605">
        <w:t xml:space="preserve">: Direct emission reduction potential from </w:t>
      </w:r>
      <w:r w:rsidR="004D41E4" w:rsidRPr="00102605">
        <w:t>Sub-Program 2</w:t>
      </w:r>
      <w:r w:rsidRPr="00102605">
        <w:t xml:space="preserve"> financing of </w:t>
      </w:r>
      <w:r w:rsidR="00143368">
        <w:t>EVs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632"/>
        <w:gridCol w:w="1054"/>
        <w:gridCol w:w="1417"/>
        <w:gridCol w:w="1276"/>
        <w:gridCol w:w="1276"/>
        <w:gridCol w:w="1275"/>
      </w:tblGrid>
      <w:tr w:rsidR="009E6BA3" w:rsidRPr="00102605" w14:paraId="5A6A6614" w14:textId="77777777" w:rsidTr="009E6BA3">
        <w:trPr>
          <w:trHeight w:val="275"/>
          <w:jc w:val="center"/>
        </w:trPr>
        <w:tc>
          <w:tcPr>
            <w:tcW w:w="1137" w:type="dxa"/>
            <w:shd w:val="clear" w:color="auto" w:fill="00B0F0"/>
            <w:noWrap/>
            <w:vAlign w:val="center"/>
            <w:hideMark/>
          </w:tcPr>
          <w:p w14:paraId="7FF632DF" w14:textId="77777777" w:rsidR="00A209C3" w:rsidRPr="00102605" w:rsidRDefault="00A209C3" w:rsidP="00A209C3">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Country</w:t>
            </w:r>
          </w:p>
        </w:tc>
        <w:tc>
          <w:tcPr>
            <w:tcW w:w="1632" w:type="dxa"/>
            <w:shd w:val="clear" w:color="auto" w:fill="00B0F0"/>
            <w:noWrap/>
            <w:vAlign w:val="center"/>
            <w:hideMark/>
          </w:tcPr>
          <w:p w14:paraId="230A8BC6" w14:textId="77777777" w:rsidR="00A209C3" w:rsidRPr="00102605" w:rsidRDefault="00A209C3" w:rsidP="00A209C3">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Parameter</w:t>
            </w:r>
          </w:p>
        </w:tc>
        <w:tc>
          <w:tcPr>
            <w:tcW w:w="1054" w:type="dxa"/>
            <w:shd w:val="clear" w:color="auto" w:fill="00B0F0"/>
            <w:noWrap/>
            <w:vAlign w:val="center"/>
            <w:hideMark/>
          </w:tcPr>
          <w:p w14:paraId="66A10105" w14:textId="77777777" w:rsidR="00A209C3" w:rsidRPr="00102605" w:rsidRDefault="00A209C3" w:rsidP="00A209C3">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Unit</w:t>
            </w:r>
          </w:p>
        </w:tc>
        <w:tc>
          <w:tcPr>
            <w:tcW w:w="1417" w:type="dxa"/>
            <w:shd w:val="clear" w:color="auto" w:fill="00B0F0"/>
            <w:noWrap/>
            <w:vAlign w:val="center"/>
            <w:hideMark/>
          </w:tcPr>
          <w:p w14:paraId="49B111B4" w14:textId="77777777" w:rsidR="00A209C3" w:rsidRPr="00102605" w:rsidRDefault="00A209C3" w:rsidP="00A209C3">
            <w:pPr>
              <w:spacing w:after="0" w:line="240" w:lineRule="auto"/>
              <w:jc w:val="center"/>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e-buses</w:t>
            </w:r>
          </w:p>
        </w:tc>
        <w:tc>
          <w:tcPr>
            <w:tcW w:w="2552" w:type="dxa"/>
            <w:gridSpan w:val="2"/>
            <w:shd w:val="clear" w:color="auto" w:fill="00B0F0"/>
            <w:vAlign w:val="center"/>
          </w:tcPr>
          <w:p w14:paraId="29010E05" w14:textId="77777777" w:rsidR="00A209C3" w:rsidRPr="00102605" w:rsidRDefault="00A209C3" w:rsidP="00A209C3">
            <w:pPr>
              <w:spacing w:after="0" w:line="240" w:lineRule="auto"/>
              <w:jc w:val="center"/>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e-LCVs</w:t>
            </w:r>
          </w:p>
        </w:tc>
        <w:tc>
          <w:tcPr>
            <w:tcW w:w="1275" w:type="dxa"/>
            <w:shd w:val="clear" w:color="auto" w:fill="00B0F0"/>
            <w:noWrap/>
            <w:vAlign w:val="center"/>
            <w:hideMark/>
          </w:tcPr>
          <w:p w14:paraId="28839150" w14:textId="77777777" w:rsidR="00A209C3" w:rsidRPr="00102605" w:rsidRDefault="00A209C3" w:rsidP="00A209C3">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Total</w:t>
            </w:r>
          </w:p>
        </w:tc>
      </w:tr>
      <w:tr w:rsidR="00A209C3" w:rsidRPr="00102605" w14:paraId="2B760BE8" w14:textId="77777777" w:rsidTr="009E6BA3">
        <w:trPr>
          <w:trHeight w:val="133"/>
          <w:jc w:val="center"/>
        </w:trPr>
        <w:tc>
          <w:tcPr>
            <w:tcW w:w="1137" w:type="dxa"/>
            <w:shd w:val="clear" w:color="auto" w:fill="00B0F0"/>
            <w:noWrap/>
          </w:tcPr>
          <w:p w14:paraId="3EDAFA10" w14:textId="77777777" w:rsidR="00A209C3" w:rsidRPr="00102605" w:rsidRDefault="00A209C3" w:rsidP="00A209C3">
            <w:pPr>
              <w:spacing w:after="0" w:line="240" w:lineRule="auto"/>
              <w:rPr>
                <w:rFonts w:ascii="Century Gothic" w:hAnsi="Century Gothic" w:cstheme="majorHAnsi"/>
                <w:sz w:val="16"/>
                <w:szCs w:val="16"/>
                <w:lang w:eastAsia="es-ES"/>
              </w:rPr>
            </w:pPr>
          </w:p>
        </w:tc>
        <w:tc>
          <w:tcPr>
            <w:tcW w:w="1632" w:type="dxa"/>
            <w:shd w:val="clear" w:color="auto" w:fill="00B0F0"/>
            <w:noWrap/>
          </w:tcPr>
          <w:p w14:paraId="71B807C2" w14:textId="77777777" w:rsidR="00A209C3" w:rsidRPr="00102605" w:rsidRDefault="00A209C3" w:rsidP="00A209C3">
            <w:pPr>
              <w:spacing w:after="0" w:line="240" w:lineRule="auto"/>
              <w:rPr>
                <w:rFonts w:ascii="Century Gothic" w:hAnsi="Century Gothic" w:cstheme="majorHAnsi"/>
                <w:sz w:val="16"/>
                <w:szCs w:val="16"/>
                <w:lang w:eastAsia="es-ES"/>
              </w:rPr>
            </w:pPr>
          </w:p>
        </w:tc>
        <w:tc>
          <w:tcPr>
            <w:tcW w:w="1054" w:type="dxa"/>
            <w:shd w:val="clear" w:color="auto" w:fill="00B0F0"/>
            <w:noWrap/>
          </w:tcPr>
          <w:p w14:paraId="3C0E9669" w14:textId="77777777" w:rsidR="00A209C3" w:rsidRPr="00102605" w:rsidRDefault="00A209C3" w:rsidP="00A209C3">
            <w:pPr>
              <w:spacing w:after="0" w:line="240" w:lineRule="auto"/>
              <w:rPr>
                <w:rFonts w:ascii="Century Gothic" w:hAnsi="Century Gothic" w:cstheme="majorHAnsi"/>
                <w:sz w:val="16"/>
                <w:szCs w:val="16"/>
                <w:lang w:eastAsia="es-ES"/>
              </w:rPr>
            </w:pPr>
          </w:p>
        </w:tc>
        <w:tc>
          <w:tcPr>
            <w:tcW w:w="1417" w:type="dxa"/>
            <w:shd w:val="clear" w:color="auto" w:fill="00B0F0"/>
            <w:noWrap/>
          </w:tcPr>
          <w:p w14:paraId="16AD1A95" w14:textId="77777777" w:rsidR="00A209C3" w:rsidRPr="00102605" w:rsidRDefault="00A209C3" w:rsidP="00A209C3">
            <w:pPr>
              <w:spacing w:after="0" w:line="240" w:lineRule="auto"/>
              <w:rPr>
                <w:rFonts w:ascii="Century Gothic" w:hAnsi="Century Gothic" w:cstheme="majorHAnsi"/>
                <w:i/>
                <w:iCs/>
                <w:color w:val="FFFFFF" w:themeColor="background1"/>
                <w:sz w:val="16"/>
                <w:szCs w:val="16"/>
                <w:lang w:eastAsia="es-ES"/>
              </w:rPr>
            </w:pPr>
            <w:r w:rsidRPr="00102605">
              <w:rPr>
                <w:rFonts w:ascii="Century Gothic" w:hAnsi="Century Gothic" w:cstheme="majorHAnsi"/>
                <w:i/>
                <w:iCs/>
                <w:color w:val="FFFFFF" w:themeColor="background1"/>
                <w:sz w:val="16"/>
                <w:szCs w:val="16"/>
                <w:lang w:eastAsia="es-ES"/>
              </w:rPr>
              <w:t>public</w:t>
            </w:r>
          </w:p>
        </w:tc>
        <w:tc>
          <w:tcPr>
            <w:tcW w:w="1276" w:type="dxa"/>
            <w:shd w:val="clear" w:color="auto" w:fill="00B0F0"/>
          </w:tcPr>
          <w:p w14:paraId="09E170D7" w14:textId="77777777" w:rsidR="00A209C3" w:rsidRPr="00102605" w:rsidRDefault="00A209C3" w:rsidP="00A209C3">
            <w:pPr>
              <w:spacing w:after="0" w:line="240" w:lineRule="auto"/>
              <w:rPr>
                <w:rFonts w:ascii="Century Gothic" w:hAnsi="Century Gothic" w:cstheme="majorHAnsi"/>
                <w:i/>
                <w:iCs/>
                <w:color w:val="FFFFFF" w:themeColor="background1"/>
                <w:sz w:val="16"/>
                <w:szCs w:val="16"/>
                <w:lang w:eastAsia="es-ES"/>
              </w:rPr>
            </w:pPr>
            <w:r w:rsidRPr="00102605">
              <w:rPr>
                <w:rFonts w:ascii="Century Gothic" w:hAnsi="Century Gothic" w:cstheme="majorHAnsi"/>
                <w:i/>
                <w:iCs/>
                <w:color w:val="FFFFFF" w:themeColor="background1"/>
                <w:sz w:val="16"/>
                <w:szCs w:val="16"/>
                <w:lang w:eastAsia="es-ES"/>
              </w:rPr>
              <w:t>public</w:t>
            </w:r>
          </w:p>
        </w:tc>
        <w:tc>
          <w:tcPr>
            <w:tcW w:w="1276" w:type="dxa"/>
            <w:shd w:val="clear" w:color="auto" w:fill="00B0F0"/>
            <w:noWrap/>
          </w:tcPr>
          <w:p w14:paraId="28B2B01D" w14:textId="77777777" w:rsidR="00A209C3" w:rsidRPr="00102605" w:rsidRDefault="00A209C3" w:rsidP="00A209C3">
            <w:pPr>
              <w:spacing w:after="0" w:line="240" w:lineRule="auto"/>
              <w:rPr>
                <w:rFonts w:ascii="Century Gothic" w:hAnsi="Century Gothic" w:cstheme="majorHAnsi"/>
                <w:i/>
                <w:iCs/>
                <w:color w:val="FFFFFF" w:themeColor="background1"/>
                <w:sz w:val="16"/>
                <w:szCs w:val="16"/>
                <w:lang w:eastAsia="es-ES"/>
              </w:rPr>
            </w:pPr>
            <w:r w:rsidRPr="00102605">
              <w:rPr>
                <w:rFonts w:ascii="Century Gothic" w:hAnsi="Century Gothic" w:cstheme="majorHAnsi"/>
                <w:i/>
                <w:iCs/>
                <w:color w:val="FFFFFF" w:themeColor="background1"/>
                <w:sz w:val="16"/>
                <w:szCs w:val="16"/>
                <w:lang w:eastAsia="es-ES"/>
              </w:rPr>
              <w:t>private</w:t>
            </w:r>
          </w:p>
        </w:tc>
        <w:tc>
          <w:tcPr>
            <w:tcW w:w="1275" w:type="dxa"/>
            <w:shd w:val="clear" w:color="auto" w:fill="00B0F0"/>
            <w:noWrap/>
          </w:tcPr>
          <w:p w14:paraId="6A1B115D" w14:textId="77777777" w:rsidR="00A209C3" w:rsidRPr="00102605" w:rsidRDefault="00A209C3" w:rsidP="00A209C3">
            <w:pPr>
              <w:spacing w:after="0" w:line="240" w:lineRule="auto"/>
              <w:rPr>
                <w:rFonts w:ascii="Century Gothic" w:hAnsi="Century Gothic" w:cstheme="majorHAnsi"/>
                <w:sz w:val="16"/>
                <w:szCs w:val="16"/>
                <w:lang w:eastAsia="es-ES"/>
              </w:rPr>
            </w:pPr>
          </w:p>
        </w:tc>
      </w:tr>
      <w:tr w:rsidR="009939A9" w:rsidRPr="00102605" w14:paraId="7000CDA1" w14:textId="77777777" w:rsidTr="009E6BA3">
        <w:trPr>
          <w:trHeight w:val="216"/>
          <w:jc w:val="center"/>
        </w:trPr>
        <w:tc>
          <w:tcPr>
            <w:tcW w:w="1137" w:type="dxa"/>
            <w:vMerge w:val="restart"/>
            <w:noWrap/>
            <w:vAlign w:val="center"/>
            <w:hideMark/>
          </w:tcPr>
          <w:p w14:paraId="6AB38511" w14:textId="77777777" w:rsidR="009939A9" w:rsidRPr="00102605" w:rsidRDefault="009939A9" w:rsidP="009939A9">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Panama</w:t>
            </w:r>
          </w:p>
        </w:tc>
        <w:tc>
          <w:tcPr>
            <w:tcW w:w="1632" w:type="dxa"/>
            <w:noWrap/>
            <w:vAlign w:val="center"/>
            <w:hideMark/>
          </w:tcPr>
          <w:p w14:paraId="0404C973" w14:textId="3991611F"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of </w:t>
            </w:r>
            <w:r w:rsidR="00143368">
              <w:rPr>
                <w:rFonts w:ascii="Century Gothic" w:hAnsi="Century Gothic" w:cstheme="majorHAnsi"/>
                <w:sz w:val="16"/>
                <w:szCs w:val="16"/>
                <w:lang w:eastAsia="es-ES"/>
              </w:rPr>
              <w:t>EVs</w:t>
            </w:r>
          </w:p>
        </w:tc>
        <w:tc>
          <w:tcPr>
            <w:tcW w:w="1054" w:type="dxa"/>
            <w:noWrap/>
            <w:vAlign w:val="center"/>
            <w:hideMark/>
          </w:tcPr>
          <w:p w14:paraId="46B10650"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noWrap/>
            <w:vAlign w:val="center"/>
            <w:hideMark/>
          </w:tcPr>
          <w:p w14:paraId="104BF41F" w14:textId="3CAA035D"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150</w:t>
            </w:r>
          </w:p>
        </w:tc>
        <w:tc>
          <w:tcPr>
            <w:tcW w:w="1276" w:type="dxa"/>
            <w:vAlign w:val="center"/>
          </w:tcPr>
          <w:p w14:paraId="4CE1008F" w14:textId="614FD7DB"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400</w:t>
            </w:r>
          </w:p>
        </w:tc>
        <w:tc>
          <w:tcPr>
            <w:tcW w:w="1276" w:type="dxa"/>
            <w:noWrap/>
            <w:vAlign w:val="center"/>
            <w:hideMark/>
          </w:tcPr>
          <w:p w14:paraId="6EDF49BC" w14:textId="4F18DAED"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50</w:t>
            </w:r>
          </w:p>
        </w:tc>
        <w:tc>
          <w:tcPr>
            <w:tcW w:w="1275" w:type="dxa"/>
            <w:noWrap/>
            <w:vAlign w:val="center"/>
            <w:hideMark/>
          </w:tcPr>
          <w:p w14:paraId="071C9EB2" w14:textId="0793A54C"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600</w:t>
            </w:r>
          </w:p>
        </w:tc>
      </w:tr>
      <w:tr w:rsidR="009939A9" w:rsidRPr="00102605" w14:paraId="4BEEB3E5" w14:textId="77777777" w:rsidTr="0070732B">
        <w:trPr>
          <w:trHeight w:val="206"/>
          <w:jc w:val="center"/>
        </w:trPr>
        <w:tc>
          <w:tcPr>
            <w:tcW w:w="1137" w:type="dxa"/>
            <w:vMerge/>
            <w:noWrap/>
            <w:vAlign w:val="center"/>
            <w:hideMark/>
          </w:tcPr>
          <w:p w14:paraId="69DD97D1"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noWrap/>
            <w:vAlign w:val="center"/>
            <w:hideMark/>
          </w:tcPr>
          <w:p w14:paraId="7516105A"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ER lifespan per EV</w:t>
            </w:r>
          </w:p>
        </w:tc>
        <w:tc>
          <w:tcPr>
            <w:tcW w:w="1054" w:type="dxa"/>
            <w:noWrap/>
            <w:vAlign w:val="center"/>
            <w:hideMark/>
          </w:tcPr>
          <w:p w14:paraId="6A7E4E52"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/EV</w:t>
            </w:r>
          </w:p>
        </w:tc>
        <w:tc>
          <w:tcPr>
            <w:tcW w:w="1417" w:type="dxa"/>
            <w:noWrap/>
            <w:hideMark/>
          </w:tcPr>
          <w:p w14:paraId="0A8F82EC" w14:textId="4638F700"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1,250</w:t>
            </w:r>
          </w:p>
        </w:tc>
        <w:tc>
          <w:tcPr>
            <w:tcW w:w="1276" w:type="dxa"/>
          </w:tcPr>
          <w:p w14:paraId="3E9E5720" w14:textId="1268A32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39.4</w:t>
            </w:r>
          </w:p>
        </w:tc>
        <w:tc>
          <w:tcPr>
            <w:tcW w:w="1276" w:type="dxa"/>
            <w:noWrap/>
            <w:hideMark/>
          </w:tcPr>
          <w:p w14:paraId="5B8133BA" w14:textId="5347D513"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39.4</w:t>
            </w:r>
          </w:p>
        </w:tc>
        <w:tc>
          <w:tcPr>
            <w:tcW w:w="1275" w:type="dxa"/>
            <w:noWrap/>
            <w:hideMark/>
          </w:tcPr>
          <w:p w14:paraId="06AA3CE4" w14:textId="77777777" w:rsidR="009939A9" w:rsidRPr="00102605" w:rsidRDefault="009939A9" w:rsidP="009939A9">
            <w:pPr>
              <w:spacing w:after="0" w:line="240" w:lineRule="auto"/>
              <w:rPr>
                <w:rFonts w:ascii="Century Gothic" w:hAnsi="Century Gothic" w:cstheme="majorHAnsi"/>
                <w:sz w:val="16"/>
                <w:szCs w:val="16"/>
                <w:lang w:eastAsia="es-ES"/>
              </w:rPr>
            </w:pPr>
          </w:p>
        </w:tc>
      </w:tr>
      <w:tr w:rsidR="009939A9" w:rsidRPr="00102605" w14:paraId="67B2E5CD" w14:textId="77777777" w:rsidTr="0070732B">
        <w:trPr>
          <w:trHeight w:val="208"/>
          <w:jc w:val="center"/>
        </w:trPr>
        <w:tc>
          <w:tcPr>
            <w:tcW w:w="1137" w:type="dxa"/>
            <w:vMerge/>
            <w:noWrap/>
            <w:vAlign w:val="center"/>
            <w:hideMark/>
          </w:tcPr>
          <w:p w14:paraId="1F783375"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noWrap/>
            <w:vAlign w:val="center"/>
            <w:hideMark/>
          </w:tcPr>
          <w:p w14:paraId="615ACC1F"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noWrap/>
            <w:vAlign w:val="center"/>
            <w:hideMark/>
          </w:tcPr>
          <w:p w14:paraId="73559913"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noWrap/>
            <w:hideMark/>
          </w:tcPr>
          <w:p w14:paraId="35DE699C" w14:textId="05C625CE"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187,500 </w:t>
            </w:r>
          </w:p>
        </w:tc>
        <w:tc>
          <w:tcPr>
            <w:tcW w:w="1276" w:type="dxa"/>
          </w:tcPr>
          <w:p w14:paraId="30865B51" w14:textId="1DA4F288"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15,760 </w:t>
            </w:r>
          </w:p>
        </w:tc>
        <w:tc>
          <w:tcPr>
            <w:tcW w:w="1276" w:type="dxa"/>
            <w:noWrap/>
            <w:hideMark/>
          </w:tcPr>
          <w:p w14:paraId="2D69FD81" w14:textId="5BF902B4"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1,970 </w:t>
            </w:r>
          </w:p>
        </w:tc>
        <w:tc>
          <w:tcPr>
            <w:tcW w:w="1275" w:type="dxa"/>
            <w:noWrap/>
            <w:hideMark/>
          </w:tcPr>
          <w:p w14:paraId="562F17DA" w14:textId="7AE98F2D"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205,000 </w:t>
            </w:r>
          </w:p>
        </w:tc>
      </w:tr>
      <w:tr w:rsidR="009939A9" w:rsidRPr="00102605" w14:paraId="60A36084" w14:textId="77777777" w:rsidTr="009E6BA3">
        <w:trPr>
          <w:trHeight w:val="211"/>
          <w:jc w:val="center"/>
        </w:trPr>
        <w:tc>
          <w:tcPr>
            <w:tcW w:w="1137" w:type="dxa"/>
            <w:vMerge w:val="restart"/>
            <w:shd w:val="clear" w:color="auto" w:fill="F2F2F2" w:themeFill="background1" w:themeFillShade="F2"/>
            <w:noWrap/>
            <w:vAlign w:val="center"/>
            <w:hideMark/>
          </w:tcPr>
          <w:p w14:paraId="5526E0FB" w14:textId="77777777" w:rsidR="009939A9" w:rsidRPr="00102605" w:rsidRDefault="009939A9" w:rsidP="009939A9">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Paraguay</w:t>
            </w:r>
          </w:p>
        </w:tc>
        <w:tc>
          <w:tcPr>
            <w:tcW w:w="1632" w:type="dxa"/>
            <w:shd w:val="clear" w:color="auto" w:fill="F2F2F2" w:themeFill="background1" w:themeFillShade="F2"/>
            <w:noWrap/>
            <w:vAlign w:val="center"/>
            <w:hideMark/>
          </w:tcPr>
          <w:p w14:paraId="4F91F285" w14:textId="10452282"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of </w:t>
            </w:r>
            <w:r w:rsidR="00143368">
              <w:rPr>
                <w:rFonts w:ascii="Century Gothic" w:hAnsi="Century Gothic" w:cstheme="majorHAnsi"/>
                <w:sz w:val="16"/>
                <w:szCs w:val="16"/>
                <w:lang w:eastAsia="es-ES"/>
              </w:rPr>
              <w:t>EVs</w:t>
            </w:r>
          </w:p>
        </w:tc>
        <w:tc>
          <w:tcPr>
            <w:tcW w:w="1054" w:type="dxa"/>
            <w:shd w:val="clear" w:color="auto" w:fill="F2F2F2" w:themeFill="background1" w:themeFillShade="F2"/>
            <w:noWrap/>
            <w:vAlign w:val="center"/>
            <w:hideMark/>
          </w:tcPr>
          <w:p w14:paraId="2D11C364"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shd w:val="clear" w:color="auto" w:fill="F2F2F2" w:themeFill="background1" w:themeFillShade="F2"/>
            <w:noWrap/>
            <w:vAlign w:val="center"/>
            <w:hideMark/>
          </w:tcPr>
          <w:p w14:paraId="1D819C76" w14:textId="6D269EBE"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300</w:t>
            </w:r>
          </w:p>
        </w:tc>
        <w:tc>
          <w:tcPr>
            <w:tcW w:w="1276" w:type="dxa"/>
            <w:shd w:val="clear" w:color="auto" w:fill="F2F2F2" w:themeFill="background1" w:themeFillShade="F2"/>
            <w:vAlign w:val="center"/>
          </w:tcPr>
          <w:p w14:paraId="105C1923" w14:textId="7DA4C05A"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300</w:t>
            </w:r>
          </w:p>
        </w:tc>
        <w:tc>
          <w:tcPr>
            <w:tcW w:w="1276" w:type="dxa"/>
            <w:shd w:val="clear" w:color="auto" w:fill="F2F2F2" w:themeFill="background1" w:themeFillShade="F2"/>
            <w:noWrap/>
            <w:vAlign w:val="center"/>
            <w:hideMark/>
          </w:tcPr>
          <w:p w14:paraId="383D0505" w14:textId="34743B1A"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100</w:t>
            </w:r>
          </w:p>
        </w:tc>
        <w:tc>
          <w:tcPr>
            <w:tcW w:w="1275" w:type="dxa"/>
            <w:shd w:val="clear" w:color="auto" w:fill="F2F2F2" w:themeFill="background1" w:themeFillShade="F2"/>
            <w:noWrap/>
            <w:vAlign w:val="center"/>
            <w:hideMark/>
          </w:tcPr>
          <w:p w14:paraId="17F6583A" w14:textId="6A0C186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700</w:t>
            </w:r>
          </w:p>
        </w:tc>
      </w:tr>
      <w:tr w:rsidR="009939A9" w:rsidRPr="00102605" w14:paraId="4E3308F0" w14:textId="77777777" w:rsidTr="0070732B">
        <w:trPr>
          <w:trHeight w:val="207"/>
          <w:jc w:val="center"/>
        </w:trPr>
        <w:tc>
          <w:tcPr>
            <w:tcW w:w="1137" w:type="dxa"/>
            <w:vMerge/>
            <w:shd w:val="clear" w:color="auto" w:fill="F2F2F2" w:themeFill="background1" w:themeFillShade="F2"/>
            <w:noWrap/>
            <w:vAlign w:val="center"/>
            <w:hideMark/>
          </w:tcPr>
          <w:p w14:paraId="76BA91AD"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shd w:val="clear" w:color="auto" w:fill="F2F2F2" w:themeFill="background1" w:themeFillShade="F2"/>
            <w:noWrap/>
            <w:vAlign w:val="center"/>
            <w:hideMark/>
          </w:tcPr>
          <w:p w14:paraId="6E737F00"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ER lifespan per EV</w:t>
            </w:r>
          </w:p>
        </w:tc>
        <w:tc>
          <w:tcPr>
            <w:tcW w:w="1054" w:type="dxa"/>
            <w:shd w:val="clear" w:color="auto" w:fill="F2F2F2" w:themeFill="background1" w:themeFillShade="F2"/>
            <w:noWrap/>
            <w:vAlign w:val="center"/>
            <w:hideMark/>
          </w:tcPr>
          <w:p w14:paraId="5FDC053B"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/EV</w:t>
            </w:r>
          </w:p>
        </w:tc>
        <w:tc>
          <w:tcPr>
            <w:tcW w:w="1417" w:type="dxa"/>
            <w:shd w:val="clear" w:color="auto" w:fill="F2F2F2" w:themeFill="background1" w:themeFillShade="F2"/>
            <w:noWrap/>
            <w:hideMark/>
          </w:tcPr>
          <w:p w14:paraId="16C1875F" w14:textId="6D111DF4"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984</w:t>
            </w:r>
          </w:p>
        </w:tc>
        <w:tc>
          <w:tcPr>
            <w:tcW w:w="1276" w:type="dxa"/>
            <w:shd w:val="clear" w:color="auto" w:fill="F2F2F2" w:themeFill="background1" w:themeFillShade="F2"/>
          </w:tcPr>
          <w:p w14:paraId="1973004F" w14:textId="44B7011E"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63</w:t>
            </w:r>
          </w:p>
        </w:tc>
        <w:tc>
          <w:tcPr>
            <w:tcW w:w="1276" w:type="dxa"/>
            <w:shd w:val="clear" w:color="auto" w:fill="F2F2F2" w:themeFill="background1" w:themeFillShade="F2"/>
            <w:noWrap/>
            <w:hideMark/>
          </w:tcPr>
          <w:p w14:paraId="6BDFA466" w14:textId="3BB2AFE5"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63</w:t>
            </w:r>
          </w:p>
        </w:tc>
        <w:tc>
          <w:tcPr>
            <w:tcW w:w="1275" w:type="dxa"/>
            <w:shd w:val="clear" w:color="auto" w:fill="F2F2F2" w:themeFill="background1" w:themeFillShade="F2"/>
            <w:noWrap/>
            <w:hideMark/>
          </w:tcPr>
          <w:p w14:paraId="7DB2C4C1" w14:textId="77777777" w:rsidR="009939A9" w:rsidRPr="00102605" w:rsidRDefault="009939A9" w:rsidP="009939A9">
            <w:pPr>
              <w:spacing w:after="0" w:line="240" w:lineRule="auto"/>
              <w:rPr>
                <w:rFonts w:ascii="Century Gothic" w:hAnsi="Century Gothic" w:cstheme="majorHAnsi"/>
                <w:sz w:val="16"/>
                <w:szCs w:val="16"/>
                <w:lang w:eastAsia="es-ES"/>
              </w:rPr>
            </w:pPr>
          </w:p>
        </w:tc>
      </w:tr>
      <w:tr w:rsidR="009939A9" w:rsidRPr="00102605" w14:paraId="64770B70" w14:textId="77777777" w:rsidTr="0070732B">
        <w:trPr>
          <w:trHeight w:val="137"/>
          <w:jc w:val="center"/>
        </w:trPr>
        <w:tc>
          <w:tcPr>
            <w:tcW w:w="1137" w:type="dxa"/>
            <w:vMerge/>
            <w:shd w:val="clear" w:color="auto" w:fill="F2F2F2" w:themeFill="background1" w:themeFillShade="F2"/>
            <w:noWrap/>
            <w:vAlign w:val="center"/>
            <w:hideMark/>
          </w:tcPr>
          <w:p w14:paraId="16EABD86"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shd w:val="clear" w:color="auto" w:fill="F2F2F2" w:themeFill="background1" w:themeFillShade="F2"/>
            <w:noWrap/>
            <w:vAlign w:val="center"/>
            <w:hideMark/>
          </w:tcPr>
          <w:p w14:paraId="46758B75"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shd w:val="clear" w:color="auto" w:fill="F2F2F2" w:themeFill="background1" w:themeFillShade="F2"/>
            <w:noWrap/>
            <w:vAlign w:val="center"/>
            <w:hideMark/>
          </w:tcPr>
          <w:p w14:paraId="2673CFD0"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shd w:val="clear" w:color="auto" w:fill="F2F2F2" w:themeFill="background1" w:themeFillShade="F2"/>
            <w:noWrap/>
            <w:hideMark/>
          </w:tcPr>
          <w:p w14:paraId="43F81CE7" w14:textId="5112AF6B"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295,200 </w:t>
            </w:r>
          </w:p>
        </w:tc>
        <w:tc>
          <w:tcPr>
            <w:tcW w:w="1276" w:type="dxa"/>
            <w:shd w:val="clear" w:color="auto" w:fill="F2F2F2" w:themeFill="background1" w:themeFillShade="F2"/>
          </w:tcPr>
          <w:p w14:paraId="2079A88E" w14:textId="54E083CC"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18,900 </w:t>
            </w:r>
          </w:p>
        </w:tc>
        <w:tc>
          <w:tcPr>
            <w:tcW w:w="1276" w:type="dxa"/>
            <w:shd w:val="clear" w:color="auto" w:fill="F2F2F2" w:themeFill="background1" w:themeFillShade="F2"/>
            <w:noWrap/>
            <w:hideMark/>
          </w:tcPr>
          <w:p w14:paraId="764412DE" w14:textId="442D007A"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6,300 </w:t>
            </w:r>
          </w:p>
        </w:tc>
        <w:tc>
          <w:tcPr>
            <w:tcW w:w="1275" w:type="dxa"/>
            <w:shd w:val="clear" w:color="auto" w:fill="F2F2F2" w:themeFill="background1" w:themeFillShade="F2"/>
            <w:noWrap/>
            <w:hideMark/>
          </w:tcPr>
          <w:p w14:paraId="2C94D333" w14:textId="0D781A38"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320,000 </w:t>
            </w:r>
          </w:p>
        </w:tc>
      </w:tr>
      <w:tr w:rsidR="009939A9" w:rsidRPr="00102605" w14:paraId="169FFE7F" w14:textId="77777777" w:rsidTr="009E6BA3">
        <w:trPr>
          <w:trHeight w:val="210"/>
          <w:jc w:val="center"/>
        </w:trPr>
        <w:tc>
          <w:tcPr>
            <w:tcW w:w="1137" w:type="dxa"/>
            <w:vMerge w:val="restart"/>
            <w:noWrap/>
            <w:vAlign w:val="center"/>
            <w:hideMark/>
          </w:tcPr>
          <w:p w14:paraId="45FEC591" w14:textId="77777777" w:rsidR="009939A9" w:rsidRPr="00102605" w:rsidRDefault="009939A9" w:rsidP="009939A9">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Uruguay</w:t>
            </w:r>
          </w:p>
        </w:tc>
        <w:tc>
          <w:tcPr>
            <w:tcW w:w="1632" w:type="dxa"/>
            <w:noWrap/>
            <w:vAlign w:val="center"/>
            <w:hideMark/>
          </w:tcPr>
          <w:p w14:paraId="59EE2B82" w14:textId="2A7D5B24"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of </w:t>
            </w:r>
            <w:r w:rsidR="00143368">
              <w:rPr>
                <w:rFonts w:ascii="Century Gothic" w:hAnsi="Century Gothic" w:cstheme="majorHAnsi"/>
                <w:sz w:val="16"/>
                <w:szCs w:val="16"/>
                <w:lang w:eastAsia="es-ES"/>
              </w:rPr>
              <w:t>EVs</w:t>
            </w:r>
          </w:p>
        </w:tc>
        <w:tc>
          <w:tcPr>
            <w:tcW w:w="1054" w:type="dxa"/>
            <w:noWrap/>
            <w:vAlign w:val="center"/>
            <w:hideMark/>
          </w:tcPr>
          <w:p w14:paraId="21080048"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noWrap/>
            <w:vAlign w:val="center"/>
            <w:hideMark/>
          </w:tcPr>
          <w:p w14:paraId="4AFF8CC4" w14:textId="53929E46"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200</w:t>
            </w:r>
          </w:p>
        </w:tc>
        <w:tc>
          <w:tcPr>
            <w:tcW w:w="1276" w:type="dxa"/>
            <w:vAlign w:val="center"/>
          </w:tcPr>
          <w:p w14:paraId="48C82766" w14:textId="3ACECBA8"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200</w:t>
            </w:r>
          </w:p>
        </w:tc>
        <w:tc>
          <w:tcPr>
            <w:tcW w:w="1276" w:type="dxa"/>
            <w:noWrap/>
            <w:vAlign w:val="center"/>
            <w:hideMark/>
          </w:tcPr>
          <w:p w14:paraId="419C58FC" w14:textId="2A67B8E9"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100</w:t>
            </w:r>
          </w:p>
        </w:tc>
        <w:tc>
          <w:tcPr>
            <w:tcW w:w="1275" w:type="dxa"/>
            <w:noWrap/>
            <w:vAlign w:val="center"/>
            <w:hideMark/>
          </w:tcPr>
          <w:p w14:paraId="260E88BA" w14:textId="682D840E"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500</w:t>
            </w:r>
          </w:p>
        </w:tc>
      </w:tr>
      <w:tr w:rsidR="009939A9" w:rsidRPr="00102605" w14:paraId="4059F19E" w14:textId="77777777" w:rsidTr="0070732B">
        <w:trPr>
          <w:trHeight w:val="207"/>
          <w:jc w:val="center"/>
        </w:trPr>
        <w:tc>
          <w:tcPr>
            <w:tcW w:w="1137" w:type="dxa"/>
            <w:vMerge/>
            <w:noWrap/>
            <w:vAlign w:val="center"/>
            <w:hideMark/>
          </w:tcPr>
          <w:p w14:paraId="12F30716"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noWrap/>
            <w:vAlign w:val="center"/>
            <w:hideMark/>
          </w:tcPr>
          <w:p w14:paraId="10638C45"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ER lifespan per EV</w:t>
            </w:r>
          </w:p>
        </w:tc>
        <w:tc>
          <w:tcPr>
            <w:tcW w:w="1054" w:type="dxa"/>
            <w:noWrap/>
            <w:vAlign w:val="center"/>
            <w:hideMark/>
          </w:tcPr>
          <w:p w14:paraId="5608EC29"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/EV</w:t>
            </w:r>
          </w:p>
        </w:tc>
        <w:tc>
          <w:tcPr>
            <w:tcW w:w="1417" w:type="dxa"/>
            <w:noWrap/>
            <w:hideMark/>
          </w:tcPr>
          <w:p w14:paraId="2F58CA78" w14:textId="352FFCE1"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1,176</w:t>
            </w:r>
          </w:p>
        </w:tc>
        <w:tc>
          <w:tcPr>
            <w:tcW w:w="1276" w:type="dxa"/>
          </w:tcPr>
          <w:p w14:paraId="7C5C34CF" w14:textId="0D051DE1"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57</w:t>
            </w:r>
          </w:p>
        </w:tc>
        <w:tc>
          <w:tcPr>
            <w:tcW w:w="1276" w:type="dxa"/>
            <w:noWrap/>
            <w:hideMark/>
          </w:tcPr>
          <w:p w14:paraId="7862D385" w14:textId="185807EC"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57</w:t>
            </w:r>
          </w:p>
        </w:tc>
        <w:tc>
          <w:tcPr>
            <w:tcW w:w="1275" w:type="dxa"/>
            <w:noWrap/>
            <w:hideMark/>
          </w:tcPr>
          <w:p w14:paraId="02598BEF" w14:textId="77777777" w:rsidR="009939A9" w:rsidRPr="00102605" w:rsidRDefault="009939A9" w:rsidP="009939A9">
            <w:pPr>
              <w:spacing w:after="0" w:line="240" w:lineRule="auto"/>
              <w:rPr>
                <w:rFonts w:ascii="Century Gothic" w:hAnsi="Century Gothic" w:cstheme="majorHAnsi"/>
                <w:sz w:val="16"/>
                <w:szCs w:val="16"/>
                <w:lang w:eastAsia="es-ES"/>
              </w:rPr>
            </w:pPr>
          </w:p>
        </w:tc>
      </w:tr>
      <w:tr w:rsidR="009939A9" w:rsidRPr="00102605" w14:paraId="767366FA" w14:textId="77777777" w:rsidTr="0070732B">
        <w:trPr>
          <w:trHeight w:val="209"/>
          <w:jc w:val="center"/>
        </w:trPr>
        <w:tc>
          <w:tcPr>
            <w:tcW w:w="1137" w:type="dxa"/>
            <w:vMerge/>
            <w:noWrap/>
            <w:vAlign w:val="center"/>
            <w:hideMark/>
          </w:tcPr>
          <w:p w14:paraId="5597112B" w14:textId="77777777" w:rsidR="009939A9" w:rsidRPr="00102605" w:rsidRDefault="009939A9" w:rsidP="009939A9">
            <w:pPr>
              <w:spacing w:after="0" w:line="240" w:lineRule="auto"/>
              <w:rPr>
                <w:rFonts w:ascii="Century Gothic" w:hAnsi="Century Gothic" w:cstheme="majorHAnsi"/>
                <w:b/>
                <w:sz w:val="16"/>
                <w:szCs w:val="16"/>
                <w:lang w:eastAsia="es-ES"/>
              </w:rPr>
            </w:pPr>
          </w:p>
        </w:tc>
        <w:tc>
          <w:tcPr>
            <w:tcW w:w="1632" w:type="dxa"/>
            <w:noWrap/>
            <w:vAlign w:val="center"/>
            <w:hideMark/>
          </w:tcPr>
          <w:p w14:paraId="1F7A7624"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noWrap/>
            <w:vAlign w:val="center"/>
            <w:hideMark/>
          </w:tcPr>
          <w:p w14:paraId="3812FC8D" w14:textId="77777777"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noWrap/>
            <w:hideMark/>
          </w:tcPr>
          <w:p w14:paraId="4B6F6CE9" w14:textId="0434B1A5"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235,200 </w:t>
            </w:r>
          </w:p>
        </w:tc>
        <w:tc>
          <w:tcPr>
            <w:tcW w:w="1276" w:type="dxa"/>
          </w:tcPr>
          <w:p w14:paraId="0CB20F9F" w14:textId="748FB04D"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11,400 </w:t>
            </w:r>
          </w:p>
        </w:tc>
        <w:tc>
          <w:tcPr>
            <w:tcW w:w="1276" w:type="dxa"/>
            <w:noWrap/>
            <w:hideMark/>
          </w:tcPr>
          <w:p w14:paraId="260E0C99" w14:textId="476B5E00"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5,700 </w:t>
            </w:r>
          </w:p>
        </w:tc>
        <w:tc>
          <w:tcPr>
            <w:tcW w:w="1275" w:type="dxa"/>
            <w:noWrap/>
            <w:hideMark/>
          </w:tcPr>
          <w:p w14:paraId="04060827" w14:textId="7D0212B8" w:rsidR="009939A9" w:rsidRPr="00102605" w:rsidRDefault="009939A9" w:rsidP="009939A9">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252,300 </w:t>
            </w:r>
          </w:p>
        </w:tc>
      </w:tr>
      <w:tr w:rsidR="009939A9" w:rsidRPr="00102605" w14:paraId="6B57C383" w14:textId="77777777" w:rsidTr="009E6BA3">
        <w:trPr>
          <w:trHeight w:val="275"/>
          <w:jc w:val="center"/>
        </w:trPr>
        <w:tc>
          <w:tcPr>
            <w:tcW w:w="1137" w:type="dxa"/>
            <w:vMerge w:val="restart"/>
            <w:shd w:val="clear" w:color="auto" w:fill="D9D9D9" w:themeFill="background1" w:themeFillShade="D9"/>
            <w:noWrap/>
            <w:vAlign w:val="center"/>
            <w:hideMark/>
          </w:tcPr>
          <w:p w14:paraId="44428878" w14:textId="77777777" w:rsidR="009939A9" w:rsidRPr="00102605" w:rsidRDefault="009939A9" w:rsidP="009939A9">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Total</w:t>
            </w:r>
          </w:p>
        </w:tc>
        <w:tc>
          <w:tcPr>
            <w:tcW w:w="1632" w:type="dxa"/>
            <w:shd w:val="clear" w:color="auto" w:fill="D9D9D9" w:themeFill="background1" w:themeFillShade="D9"/>
            <w:noWrap/>
            <w:vAlign w:val="center"/>
            <w:hideMark/>
          </w:tcPr>
          <w:p w14:paraId="477A42FA" w14:textId="54A16EEA"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of </w:t>
            </w:r>
            <w:r w:rsidR="00143368">
              <w:rPr>
                <w:rFonts w:ascii="Century Gothic" w:hAnsi="Century Gothic" w:cstheme="majorHAnsi"/>
                <w:sz w:val="16"/>
                <w:szCs w:val="16"/>
                <w:lang w:eastAsia="es-ES"/>
              </w:rPr>
              <w:t>EVs</w:t>
            </w:r>
          </w:p>
        </w:tc>
        <w:tc>
          <w:tcPr>
            <w:tcW w:w="1054" w:type="dxa"/>
            <w:shd w:val="clear" w:color="auto" w:fill="D9D9D9" w:themeFill="background1" w:themeFillShade="D9"/>
            <w:noWrap/>
            <w:vAlign w:val="center"/>
            <w:hideMark/>
          </w:tcPr>
          <w:p w14:paraId="3868536D" w14:textId="77777777"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shd w:val="clear" w:color="auto" w:fill="D9D9D9" w:themeFill="background1" w:themeFillShade="D9"/>
            <w:noWrap/>
            <w:vAlign w:val="center"/>
            <w:hideMark/>
          </w:tcPr>
          <w:p w14:paraId="155557F0" w14:textId="53950C30"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650</w:t>
            </w:r>
          </w:p>
        </w:tc>
        <w:tc>
          <w:tcPr>
            <w:tcW w:w="1276" w:type="dxa"/>
            <w:shd w:val="clear" w:color="auto" w:fill="D9D9D9" w:themeFill="background1" w:themeFillShade="D9"/>
            <w:vAlign w:val="center"/>
          </w:tcPr>
          <w:p w14:paraId="061B55C7" w14:textId="18016448"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900</w:t>
            </w:r>
          </w:p>
        </w:tc>
        <w:tc>
          <w:tcPr>
            <w:tcW w:w="1276" w:type="dxa"/>
            <w:shd w:val="clear" w:color="auto" w:fill="D9D9D9" w:themeFill="background1" w:themeFillShade="D9"/>
            <w:noWrap/>
            <w:vAlign w:val="center"/>
            <w:hideMark/>
          </w:tcPr>
          <w:p w14:paraId="61B6609F" w14:textId="0870E5A4"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250</w:t>
            </w:r>
          </w:p>
        </w:tc>
        <w:tc>
          <w:tcPr>
            <w:tcW w:w="1275" w:type="dxa"/>
            <w:shd w:val="clear" w:color="auto" w:fill="D9D9D9" w:themeFill="background1" w:themeFillShade="D9"/>
            <w:noWrap/>
            <w:vAlign w:val="center"/>
            <w:hideMark/>
          </w:tcPr>
          <w:p w14:paraId="2CA5AFD8" w14:textId="6E2682FE" w:rsidR="009939A9" w:rsidRPr="00102605" w:rsidRDefault="009939A9" w:rsidP="009939A9">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1,800</w:t>
            </w:r>
          </w:p>
        </w:tc>
      </w:tr>
      <w:tr w:rsidR="009939A9" w:rsidRPr="00102605" w14:paraId="56FBBEA5" w14:textId="77777777" w:rsidTr="009E6BA3">
        <w:trPr>
          <w:trHeight w:val="275"/>
          <w:jc w:val="center"/>
        </w:trPr>
        <w:tc>
          <w:tcPr>
            <w:tcW w:w="1137" w:type="dxa"/>
            <w:vMerge/>
            <w:shd w:val="clear" w:color="auto" w:fill="D9D9D9" w:themeFill="background1" w:themeFillShade="D9"/>
            <w:noWrap/>
            <w:vAlign w:val="center"/>
            <w:hideMark/>
          </w:tcPr>
          <w:p w14:paraId="20F474D3" w14:textId="77777777" w:rsidR="009939A9" w:rsidRPr="00102605" w:rsidRDefault="009939A9" w:rsidP="009939A9">
            <w:pPr>
              <w:spacing w:after="0" w:line="240" w:lineRule="auto"/>
              <w:rPr>
                <w:rFonts w:ascii="Century Gothic" w:hAnsi="Century Gothic" w:cstheme="majorHAnsi"/>
                <w:b/>
                <w:bCs/>
                <w:sz w:val="16"/>
                <w:szCs w:val="16"/>
                <w:lang w:eastAsia="es-ES"/>
              </w:rPr>
            </w:pPr>
          </w:p>
        </w:tc>
        <w:tc>
          <w:tcPr>
            <w:tcW w:w="1632" w:type="dxa"/>
            <w:shd w:val="clear" w:color="auto" w:fill="D9D9D9" w:themeFill="background1" w:themeFillShade="D9"/>
            <w:noWrap/>
            <w:vAlign w:val="center"/>
            <w:hideMark/>
          </w:tcPr>
          <w:p w14:paraId="5D327C6C" w14:textId="77777777"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Century Gothic" w:hAnsi="Century Gothic" w:cstheme="majorHAnsi"/>
                <w:b/>
                <w:bCs/>
                <w:sz w:val="16"/>
                <w:szCs w:val="16"/>
                <w:lang w:eastAsia="es-ES"/>
              </w:rPr>
              <w:t>Emission reduction (WTW)</w:t>
            </w:r>
          </w:p>
        </w:tc>
        <w:tc>
          <w:tcPr>
            <w:tcW w:w="1054" w:type="dxa"/>
            <w:shd w:val="clear" w:color="auto" w:fill="D9D9D9" w:themeFill="background1" w:themeFillShade="D9"/>
            <w:noWrap/>
            <w:vAlign w:val="center"/>
            <w:hideMark/>
          </w:tcPr>
          <w:p w14:paraId="74DC16CB" w14:textId="77777777"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Century Gothic" w:hAnsi="Century Gothic" w:cstheme="majorHAnsi"/>
                <w:b/>
                <w:bCs/>
                <w:sz w:val="16"/>
                <w:szCs w:val="16"/>
                <w:lang w:eastAsia="es-ES"/>
              </w:rPr>
              <w:t>tCO</w:t>
            </w:r>
            <w:r w:rsidRPr="00102605">
              <w:rPr>
                <w:rFonts w:ascii="Century Gothic" w:hAnsi="Century Gothic" w:cstheme="majorHAnsi"/>
                <w:b/>
                <w:bCs/>
                <w:sz w:val="16"/>
                <w:szCs w:val="16"/>
                <w:vertAlign w:val="subscript"/>
                <w:lang w:eastAsia="es-ES"/>
              </w:rPr>
              <w:t>2</w:t>
            </w:r>
          </w:p>
        </w:tc>
        <w:tc>
          <w:tcPr>
            <w:tcW w:w="1417" w:type="dxa"/>
            <w:shd w:val="clear" w:color="auto" w:fill="D9D9D9" w:themeFill="background1" w:themeFillShade="D9"/>
            <w:noWrap/>
            <w:vAlign w:val="center"/>
            <w:hideMark/>
          </w:tcPr>
          <w:p w14:paraId="3A63689A" w14:textId="567C2FE0"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718,000</w:t>
            </w:r>
          </w:p>
        </w:tc>
        <w:tc>
          <w:tcPr>
            <w:tcW w:w="1276" w:type="dxa"/>
            <w:shd w:val="clear" w:color="auto" w:fill="D9D9D9" w:themeFill="background1" w:themeFillShade="D9"/>
            <w:vAlign w:val="center"/>
          </w:tcPr>
          <w:p w14:paraId="12B0A35B" w14:textId="754589E6"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46,000</w:t>
            </w:r>
          </w:p>
        </w:tc>
        <w:tc>
          <w:tcPr>
            <w:tcW w:w="1276" w:type="dxa"/>
            <w:shd w:val="clear" w:color="auto" w:fill="D9D9D9" w:themeFill="background1" w:themeFillShade="D9"/>
            <w:noWrap/>
            <w:vAlign w:val="center"/>
            <w:hideMark/>
          </w:tcPr>
          <w:p w14:paraId="1D779182" w14:textId="07C8417B"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14,000</w:t>
            </w:r>
          </w:p>
        </w:tc>
        <w:tc>
          <w:tcPr>
            <w:tcW w:w="1275" w:type="dxa"/>
            <w:shd w:val="clear" w:color="auto" w:fill="D9D9D9" w:themeFill="background1" w:themeFillShade="D9"/>
            <w:noWrap/>
            <w:vAlign w:val="center"/>
            <w:hideMark/>
          </w:tcPr>
          <w:p w14:paraId="0F15EB97" w14:textId="2884C827" w:rsidR="009939A9" w:rsidRPr="00102605" w:rsidRDefault="009939A9" w:rsidP="009939A9">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778,000</w:t>
            </w:r>
          </w:p>
        </w:tc>
      </w:tr>
    </w:tbl>
    <w:p w14:paraId="741B75ED" w14:textId="199828AF" w:rsidR="004E4C8E" w:rsidRPr="00D07B6F" w:rsidRDefault="004E4C8E" w:rsidP="00D07B6F">
      <w:pPr>
        <w:spacing w:after="0" w:line="240" w:lineRule="auto"/>
        <w:jc w:val="center"/>
        <w:rPr>
          <w:i/>
          <w:iCs/>
          <w:sz w:val="18"/>
          <w:szCs w:val="18"/>
        </w:rPr>
      </w:pPr>
      <w:r w:rsidRPr="00D07B6F">
        <w:rPr>
          <w:i/>
          <w:iCs/>
          <w:sz w:val="18"/>
          <w:szCs w:val="18"/>
        </w:rPr>
        <w:t xml:space="preserve">Source: </w:t>
      </w:r>
      <w:proofErr w:type="spellStart"/>
      <w:r w:rsidRPr="00D07B6F">
        <w:rPr>
          <w:i/>
          <w:iCs/>
          <w:sz w:val="18"/>
          <w:szCs w:val="18"/>
        </w:rPr>
        <w:t>Hinico</w:t>
      </w:r>
      <w:proofErr w:type="spellEnd"/>
      <w:r w:rsidRPr="00D07B6F">
        <w:rPr>
          <w:i/>
          <w:iCs/>
          <w:sz w:val="18"/>
          <w:szCs w:val="18"/>
        </w:rPr>
        <w:t xml:space="preserve"> / the </w:t>
      </w:r>
      <w:proofErr w:type="spellStart"/>
      <w:r w:rsidRPr="00D07B6F">
        <w:rPr>
          <w:i/>
          <w:iCs/>
          <w:sz w:val="18"/>
          <w:szCs w:val="18"/>
        </w:rPr>
        <w:t>greenwerk</w:t>
      </w:r>
      <w:proofErr w:type="spellEnd"/>
      <w:r w:rsidRPr="00D07B6F">
        <w:rPr>
          <w:i/>
          <w:iCs/>
          <w:sz w:val="18"/>
          <w:szCs w:val="18"/>
        </w:rPr>
        <w:t xml:space="preserve">, Feasibility Study, Report T5 Estimated Impacts of the </w:t>
      </w:r>
      <w:r w:rsidR="00F84CBB" w:rsidRPr="00D07B6F">
        <w:rPr>
          <w:i/>
          <w:iCs/>
          <w:sz w:val="18"/>
          <w:szCs w:val="18"/>
        </w:rPr>
        <w:t>Sub-Program 2</w:t>
      </w:r>
      <w:r w:rsidRPr="00D07B6F">
        <w:rPr>
          <w:i/>
          <w:iCs/>
          <w:sz w:val="18"/>
          <w:szCs w:val="18"/>
        </w:rPr>
        <w:t xml:space="preserve">, 2021 </w:t>
      </w:r>
    </w:p>
    <w:p w14:paraId="39B4B551" w14:textId="77777777" w:rsidR="00A60528" w:rsidRPr="00102605" w:rsidRDefault="00A60528" w:rsidP="00D07B6F">
      <w:pPr>
        <w:spacing w:after="0" w:line="240" w:lineRule="auto"/>
      </w:pPr>
    </w:p>
    <w:p w14:paraId="14275578" w14:textId="77777777" w:rsidR="00A60528" w:rsidRPr="00102605" w:rsidRDefault="00A60528" w:rsidP="00D07B6F">
      <w:pPr>
        <w:spacing w:after="0" w:line="240" w:lineRule="auto"/>
        <w:rPr>
          <w:b/>
          <w:bCs/>
          <w:u w:val="single"/>
        </w:rPr>
      </w:pPr>
      <w:r w:rsidRPr="00102605">
        <w:rPr>
          <w:b/>
          <w:bCs/>
          <w:u w:val="single"/>
        </w:rPr>
        <w:t>Direct mitigation potential from mode shift</w:t>
      </w:r>
    </w:p>
    <w:p w14:paraId="44068D13" w14:textId="020B6CC5" w:rsidR="00A60528" w:rsidRDefault="00A60528" w:rsidP="00D07B6F">
      <w:pPr>
        <w:spacing w:after="0" w:line="240" w:lineRule="auto"/>
      </w:pPr>
      <w:r w:rsidRPr="00102605">
        <w:t xml:space="preserve">Mode shift is triggered through program investments and technical assistance from modes with high levels of carbon emissions per passenger-km to low carbon transport modes. The projected GHG impact of the Sub-Program 2 in Uruguay, </w:t>
      </w:r>
      <w:r w:rsidR="003F3E30" w:rsidRPr="00102605">
        <w:t>Paraguay,</w:t>
      </w:r>
      <w:r w:rsidRPr="00102605">
        <w:t xml:space="preserve"> and Panama due to modal shift is estimated to 2.5 MtCO</w:t>
      </w:r>
      <w:r w:rsidRPr="00102605">
        <w:rPr>
          <w:vertAlign w:val="subscript"/>
        </w:rPr>
        <w:t>2</w:t>
      </w:r>
      <w:r w:rsidRPr="00102605">
        <w:t xml:space="preserve">e over the lifetime of the </w:t>
      </w:r>
      <w:r w:rsidR="00143368">
        <w:t>EVs</w:t>
      </w:r>
      <w:r w:rsidRPr="00102605">
        <w:t xml:space="preserve"> financed by the program based on the initial pipeline of sub-projects.</w:t>
      </w:r>
    </w:p>
    <w:p w14:paraId="06F7D052" w14:textId="77777777" w:rsidR="00D07B6F" w:rsidRPr="00102605" w:rsidRDefault="00D07B6F" w:rsidP="00D07B6F">
      <w:pPr>
        <w:spacing w:after="0" w:line="240" w:lineRule="auto"/>
      </w:pPr>
    </w:p>
    <w:tbl>
      <w:tblPr>
        <w:tblW w:w="9259" w:type="dxa"/>
        <w:tblInd w:w="70" w:type="dxa"/>
        <w:tblCellMar>
          <w:left w:w="70" w:type="dxa"/>
          <w:right w:w="70" w:type="dxa"/>
        </w:tblCellMar>
        <w:tblLook w:val="04A0" w:firstRow="1" w:lastRow="0" w:firstColumn="1" w:lastColumn="0" w:noHBand="0" w:noVBand="1"/>
      </w:tblPr>
      <w:tblGrid>
        <w:gridCol w:w="3688"/>
        <w:gridCol w:w="1414"/>
        <w:gridCol w:w="1363"/>
        <w:gridCol w:w="1668"/>
        <w:gridCol w:w="1126"/>
      </w:tblGrid>
      <w:tr w:rsidR="004A55D9" w:rsidRPr="00102605" w14:paraId="47D5CBAE" w14:textId="77777777" w:rsidTr="00AE798F">
        <w:trPr>
          <w:trHeight w:val="163"/>
          <w:tblHeader/>
        </w:trPr>
        <w:tc>
          <w:tcPr>
            <w:tcW w:w="3688" w:type="dxa"/>
            <w:tcBorders>
              <w:top w:val="single" w:sz="4" w:space="0" w:color="auto"/>
              <w:left w:val="single" w:sz="4" w:space="0" w:color="auto"/>
              <w:bottom w:val="single" w:sz="4" w:space="0" w:color="auto"/>
              <w:right w:val="nil"/>
            </w:tcBorders>
            <w:shd w:val="clear" w:color="000000" w:fill="E7E6E6"/>
            <w:vAlign w:val="center"/>
            <w:hideMark/>
          </w:tcPr>
          <w:p w14:paraId="7F1FF07B" w14:textId="77777777" w:rsidR="004A55D9" w:rsidRPr="00102605" w:rsidRDefault="004A55D9" w:rsidP="00BE745A">
            <w:pPr>
              <w:jc w:val="left"/>
              <w:rPr>
                <w:rFonts w:eastAsia="Times New Roman"/>
                <w:b/>
                <w:bCs/>
                <w:color w:val="000000"/>
                <w:sz w:val="18"/>
                <w:szCs w:val="18"/>
                <w:lang w:eastAsia="de-DE"/>
              </w:rPr>
            </w:pPr>
            <w:r w:rsidRPr="00102605">
              <w:rPr>
                <w:rFonts w:eastAsia="Times New Roman"/>
                <w:b/>
                <w:bCs/>
                <w:color w:val="000000"/>
                <w:sz w:val="18"/>
                <w:szCs w:val="18"/>
                <w:lang w:eastAsia="de-DE"/>
              </w:rPr>
              <w:t>Parameter</w:t>
            </w:r>
          </w:p>
        </w:tc>
        <w:tc>
          <w:tcPr>
            <w:tcW w:w="4445"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07599B11" w14:textId="77777777" w:rsidR="004A55D9" w:rsidRPr="00102605" w:rsidRDefault="004A55D9" w:rsidP="00BE745A">
            <w:pPr>
              <w:jc w:val="center"/>
              <w:rPr>
                <w:rFonts w:eastAsia="Times New Roman"/>
                <w:b/>
                <w:bCs/>
                <w:color w:val="000000"/>
                <w:sz w:val="18"/>
                <w:szCs w:val="18"/>
                <w:lang w:eastAsia="de-DE"/>
              </w:rPr>
            </w:pPr>
            <w:r w:rsidRPr="00102605">
              <w:rPr>
                <w:rFonts w:eastAsia="Times New Roman"/>
                <w:b/>
                <w:bCs/>
                <w:color w:val="000000"/>
                <w:sz w:val="18"/>
                <w:szCs w:val="18"/>
                <w:lang w:eastAsia="de-DE"/>
              </w:rPr>
              <w:t>Value</w:t>
            </w:r>
          </w:p>
        </w:tc>
        <w:tc>
          <w:tcPr>
            <w:tcW w:w="1126" w:type="dxa"/>
            <w:tcBorders>
              <w:top w:val="single" w:sz="4" w:space="0" w:color="auto"/>
              <w:left w:val="nil"/>
              <w:bottom w:val="single" w:sz="4" w:space="0" w:color="auto"/>
              <w:right w:val="single" w:sz="4" w:space="0" w:color="auto"/>
            </w:tcBorders>
            <w:shd w:val="clear" w:color="000000" w:fill="E7E6E6"/>
            <w:noWrap/>
            <w:vAlign w:val="bottom"/>
            <w:hideMark/>
          </w:tcPr>
          <w:p w14:paraId="139EA2BC" w14:textId="77777777" w:rsidR="004A55D9" w:rsidRPr="00102605" w:rsidRDefault="004A55D9" w:rsidP="00BE745A">
            <w:pPr>
              <w:jc w:val="left"/>
              <w:rPr>
                <w:rFonts w:eastAsia="Times New Roman"/>
                <w:b/>
                <w:bCs/>
                <w:color w:val="000000"/>
                <w:sz w:val="18"/>
                <w:szCs w:val="18"/>
                <w:lang w:eastAsia="de-DE"/>
              </w:rPr>
            </w:pPr>
            <w:r w:rsidRPr="00102605">
              <w:rPr>
                <w:rFonts w:eastAsia="Times New Roman"/>
                <w:b/>
                <w:bCs/>
                <w:color w:val="000000"/>
                <w:sz w:val="18"/>
                <w:szCs w:val="18"/>
                <w:lang w:eastAsia="de-DE"/>
              </w:rPr>
              <w:t>Unit</w:t>
            </w:r>
          </w:p>
        </w:tc>
      </w:tr>
      <w:tr w:rsidR="004A55D9" w:rsidRPr="00102605" w14:paraId="7926DB62" w14:textId="77777777" w:rsidTr="00AE798F">
        <w:trPr>
          <w:trHeight w:val="163"/>
          <w:tblHeader/>
        </w:trPr>
        <w:tc>
          <w:tcPr>
            <w:tcW w:w="3688" w:type="dxa"/>
            <w:tcBorders>
              <w:top w:val="nil"/>
              <w:left w:val="single" w:sz="4" w:space="0" w:color="auto"/>
              <w:bottom w:val="single" w:sz="4" w:space="0" w:color="auto"/>
              <w:right w:val="nil"/>
            </w:tcBorders>
            <w:shd w:val="clear" w:color="000000" w:fill="E7E6E6"/>
            <w:vAlign w:val="center"/>
            <w:hideMark/>
          </w:tcPr>
          <w:p w14:paraId="6FF3B3B1" w14:textId="77777777" w:rsidR="004A55D9" w:rsidRPr="00102605" w:rsidRDefault="004A55D9" w:rsidP="00BE745A">
            <w:pPr>
              <w:jc w:val="left"/>
              <w:rPr>
                <w:rFonts w:eastAsia="Times New Roman"/>
                <w:b/>
                <w:bCs/>
                <w:color w:val="000000"/>
                <w:sz w:val="18"/>
                <w:szCs w:val="18"/>
                <w:lang w:eastAsia="de-DE"/>
              </w:rPr>
            </w:pPr>
            <w:r w:rsidRPr="00102605">
              <w:rPr>
                <w:rFonts w:eastAsia="Times New Roman"/>
                <w:b/>
                <w:bCs/>
                <w:color w:val="000000"/>
                <w:sz w:val="18"/>
                <w:szCs w:val="18"/>
                <w:lang w:eastAsia="de-DE"/>
              </w:rPr>
              <w:t> </w:t>
            </w: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73417333" w14:textId="77777777" w:rsidR="004A55D9" w:rsidRPr="00102605" w:rsidRDefault="004A55D9" w:rsidP="00BE745A">
            <w:pPr>
              <w:jc w:val="center"/>
              <w:rPr>
                <w:rFonts w:eastAsia="Times New Roman"/>
                <w:b/>
                <w:bCs/>
                <w:color w:val="000000"/>
                <w:sz w:val="18"/>
                <w:szCs w:val="18"/>
                <w:lang w:eastAsia="de-DE"/>
              </w:rPr>
            </w:pPr>
            <w:r w:rsidRPr="00102605">
              <w:rPr>
                <w:rFonts w:eastAsia="Times New Roman"/>
                <w:b/>
                <w:bCs/>
                <w:color w:val="000000"/>
                <w:sz w:val="18"/>
                <w:szCs w:val="18"/>
                <w:lang w:eastAsia="de-DE"/>
              </w:rPr>
              <w:t>PA</w:t>
            </w:r>
          </w:p>
        </w:tc>
        <w:tc>
          <w:tcPr>
            <w:tcW w:w="1363" w:type="dxa"/>
            <w:tcBorders>
              <w:top w:val="nil"/>
              <w:left w:val="nil"/>
              <w:bottom w:val="single" w:sz="4" w:space="0" w:color="auto"/>
              <w:right w:val="single" w:sz="4" w:space="0" w:color="auto"/>
            </w:tcBorders>
            <w:shd w:val="clear" w:color="auto" w:fill="auto"/>
            <w:noWrap/>
            <w:vAlign w:val="bottom"/>
            <w:hideMark/>
          </w:tcPr>
          <w:p w14:paraId="30ED6CEE" w14:textId="77777777" w:rsidR="004A55D9" w:rsidRPr="00102605" w:rsidRDefault="004A55D9" w:rsidP="00BE745A">
            <w:pPr>
              <w:jc w:val="center"/>
              <w:rPr>
                <w:rFonts w:eastAsia="Times New Roman"/>
                <w:b/>
                <w:bCs/>
                <w:color w:val="000000"/>
                <w:sz w:val="18"/>
                <w:szCs w:val="18"/>
                <w:lang w:eastAsia="de-DE"/>
              </w:rPr>
            </w:pPr>
            <w:r w:rsidRPr="00102605">
              <w:rPr>
                <w:rFonts w:eastAsia="Times New Roman"/>
                <w:b/>
                <w:bCs/>
                <w:color w:val="000000"/>
                <w:sz w:val="18"/>
                <w:szCs w:val="18"/>
                <w:lang w:eastAsia="de-DE"/>
              </w:rPr>
              <w:t>PY</w:t>
            </w:r>
          </w:p>
        </w:tc>
        <w:tc>
          <w:tcPr>
            <w:tcW w:w="1668" w:type="dxa"/>
            <w:tcBorders>
              <w:top w:val="nil"/>
              <w:left w:val="nil"/>
              <w:bottom w:val="single" w:sz="4" w:space="0" w:color="auto"/>
              <w:right w:val="single" w:sz="4" w:space="0" w:color="auto"/>
            </w:tcBorders>
            <w:shd w:val="clear" w:color="auto" w:fill="auto"/>
            <w:noWrap/>
            <w:vAlign w:val="bottom"/>
            <w:hideMark/>
          </w:tcPr>
          <w:p w14:paraId="1F78B49D" w14:textId="77777777" w:rsidR="004A55D9" w:rsidRPr="00102605" w:rsidRDefault="004A55D9" w:rsidP="00BE745A">
            <w:pPr>
              <w:jc w:val="center"/>
              <w:rPr>
                <w:rFonts w:eastAsia="Times New Roman"/>
                <w:b/>
                <w:bCs/>
                <w:color w:val="000000"/>
                <w:sz w:val="18"/>
                <w:szCs w:val="18"/>
                <w:lang w:eastAsia="de-DE"/>
              </w:rPr>
            </w:pPr>
            <w:r w:rsidRPr="00102605">
              <w:rPr>
                <w:rFonts w:eastAsia="Times New Roman"/>
                <w:b/>
                <w:bCs/>
                <w:color w:val="000000"/>
                <w:sz w:val="18"/>
                <w:szCs w:val="18"/>
                <w:lang w:eastAsia="de-DE"/>
              </w:rPr>
              <w:t>UY</w:t>
            </w:r>
          </w:p>
        </w:tc>
        <w:tc>
          <w:tcPr>
            <w:tcW w:w="1126" w:type="dxa"/>
            <w:tcBorders>
              <w:top w:val="nil"/>
              <w:left w:val="nil"/>
              <w:bottom w:val="single" w:sz="4" w:space="0" w:color="auto"/>
              <w:right w:val="single" w:sz="4" w:space="0" w:color="auto"/>
            </w:tcBorders>
            <w:shd w:val="clear" w:color="000000" w:fill="E7E6E6"/>
            <w:noWrap/>
            <w:vAlign w:val="bottom"/>
            <w:hideMark/>
          </w:tcPr>
          <w:p w14:paraId="74B5AFD1" w14:textId="77777777" w:rsidR="004A55D9" w:rsidRPr="00102605" w:rsidRDefault="004A55D9" w:rsidP="00BE745A">
            <w:pPr>
              <w:jc w:val="left"/>
              <w:rPr>
                <w:rFonts w:eastAsia="Times New Roman"/>
                <w:b/>
                <w:bCs/>
                <w:color w:val="000000"/>
                <w:sz w:val="18"/>
                <w:szCs w:val="18"/>
                <w:lang w:eastAsia="de-DE"/>
              </w:rPr>
            </w:pPr>
            <w:r w:rsidRPr="00102605">
              <w:rPr>
                <w:rFonts w:eastAsia="Times New Roman"/>
                <w:b/>
                <w:bCs/>
                <w:color w:val="000000"/>
                <w:sz w:val="18"/>
                <w:szCs w:val="18"/>
                <w:lang w:eastAsia="de-DE"/>
              </w:rPr>
              <w:t> </w:t>
            </w:r>
          </w:p>
        </w:tc>
      </w:tr>
      <w:tr w:rsidR="004A55D9" w:rsidRPr="00102605" w14:paraId="0FCB01C4" w14:textId="77777777" w:rsidTr="00AE798F">
        <w:trPr>
          <w:trHeight w:val="52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62BB458C"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Projected additional ridership due to multiple measures</w:t>
            </w:r>
          </w:p>
        </w:tc>
        <w:tc>
          <w:tcPr>
            <w:tcW w:w="4445" w:type="dxa"/>
            <w:gridSpan w:val="3"/>
            <w:tcBorders>
              <w:top w:val="nil"/>
              <w:left w:val="nil"/>
              <w:bottom w:val="single" w:sz="4" w:space="0" w:color="auto"/>
              <w:right w:val="single" w:sz="4" w:space="0" w:color="000000"/>
            </w:tcBorders>
            <w:shd w:val="clear" w:color="auto" w:fill="auto"/>
            <w:noWrap/>
            <w:vAlign w:val="bottom"/>
            <w:hideMark/>
          </w:tcPr>
          <w:p w14:paraId="4567EAF2"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20%</w:t>
            </w:r>
          </w:p>
        </w:tc>
        <w:tc>
          <w:tcPr>
            <w:tcW w:w="1126" w:type="dxa"/>
            <w:tcBorders>
              <w:top w:val="nil"/>
              <w:left w:val="nil"/>
              <w:bottom w:val="single" w:sz="4" w:space="0" w:color="auto"/>
              <w:right w:val="single" w:sz="4" w:space="0" w:color="auto"/>
            </w:tcBorders>
            <w:shd w:val="clear" w:color="auto" w:fill="auto"/>
            <w:noWrap/>
            <w:vAlign w:val="bottom"/>
            <w:hideMark/>
          </w:tcPr>
          <w:p w14:paraId="3EAD0CA6"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w:t>
            </w:r>
          </w:p>
        </w:tc>
      </w:tr>
      <w:tr w:rsidR="004A55D9" w:rsidRPr="00102605" w14:paraId="7F485168" w14:textId="77777777" w:rsidTr="00AE798F">
        <w:trPr>
          <w:trHeight w:val="347"/>
        </w:trPr>
        <w:tc>
          <w:tcPr>
            <w:tcW w:w="3688" w:type="dxa"/>
            <w:tcBorders>
              <w:top w:val="nil"/>
              <w:left w:val="single" w:sz="4" w:space="0" w:color="auto"/>
              <w:bottom w:val="single" w:sz="4" w:space="0" w:color="auto"/>
              <w:right w:val="single" w:sz="4" w:space="0" w:color="auto"/>
            </w:tcBorders>
            <w:shd w:val="clear" w:color="auto" w:fill="auto"/>
            <w:vAlign w:val="center"/>
            <w:hideMark/>
          </w:tcPr>
          <w:p w14:paraId="7A0F7E49"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Additional patronage from cars</w:t>
            </w:r>
          </w:p>
        </w:tc>
        <w:tc>
          <w:tcPr>
            <w:tcW w:w="44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6CBEA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100%</w:t>
            </w:r>
          </w:p>
        </w:tc>
        <w:tc>
          <w:tcPr>
            <w:tcW w:w="1126" w:type="dxa"/>
            <w:tcBorders>
              <w:top w:val="nil"/>
              <w:left w:val="nil"/>
              <w:bottom w:val="single" w:sz="4" w:space="0" w:color="auto"/>
              <w:right w:val="single" w:sz="4" w:space="0" w:color="auto"/>
            </w:tcBorders>
            <w:shd w:val="clear" w:color="auto" w:fill="auto"/>
            <w:noWrap/>
            <w:vAlign w:val="center"/>
            <w:hideMark/>
          </w:tcPr>
          <w:p w14:paraId="49DB5B3F"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w:t>
            </w:r>
          </w:p>
        </w:tc>
      </w:tr>
      <w:tr w:rsidR="004A55D9" w:rsidRPr="00102605" w14:paraId="39486DA2"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1467F49A"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Assumed lifespan</w:t>
            </w:r>
          </w:p>
        </w:tc>
        <w:tc>
          <w:tcPr>
            <w:tcW w:w="444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1F681F"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25</w:t>
            </w:r>
          </w:p>
        </w:tc>
        <w:tc>
          <w:tcPr>
            <w:tcW w:w="1126" w:type="dxa"/>
            <w:tcBorders>
              <w:top w:val="nil"/>
              <w:left w:val="nil"/>
              <w:bottom w:val="single" w:sz="4" w:space="0" w:color="auto"/>
              <w:right w:val="single" w:sz="4" w:space="0" w:color="auto"/>
            </w:tcBorders>
            <w:shd w:val="clear" w:color="auto" w:fill="auto"/>
            <w:noWrap/>
            <w:vAlign w:val="bottom"/>
            <w:hideMark/>
          </w:tcPr>
          <w:p w14:paraId="16EA6599"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years</w:t>
            </w:r>
          </w:p>
        </w:tc>
      </w:tr>
      <w:tr w:rsidR="004A55D9" w:rsidRPr="00102605" w14:paraId="0A2E748E" w14:textId="77777777" w:rsidTr="00AE798F">
        <w:trPr>
          <w:trHeight w:val="347"/>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2AA2AB88"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Average occupancy rate PT</w:t>
            </w:r>
          </w:p>
        </w:tc>
        <w:tc>
          <w:tcPr>
            <w:tcW w:w="1414" w:type="dxa"/>
            <w:tcBorders>
              <w:top w:val="nil"/>
              <w:left w:val="nil"/>
              <w:bottom w:val="single" w:sz="4" w:space="0" w:color="auto"/>
              <w:right w:val="single" w:sz="4" w:space="0" w:color="auto"/>
            </w:tcBorders>
            <w:shd w:val="clear" w:color="auto" w:fill="auto"/>
            <w:noWrap/>
            <w:vAlign w:val="bottom"/>
            <w:hideMark/>
          </w:tcPr>
          <w:p w14:paraId="3D9B456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23</w:t>
            </w:r>
          </w:p>
        </w:tc>
        <w:tc>
          <w:tcPr>
            <w:tcW w:w="1363" w:type="dxa"/>
            <w:tcBorders>
              <w:top w:val="nil"/>
              <w:left w:val="nil"/>
              <w:bottom w:val="single" w:sz="4" w:space="0" w:color="auto"/>
              <w:right w:val="single" w:sz="4" w:space="0" w:color="auto"/>
            </w:tcBorders>
            <w:shd w:val="clear" w:color="auto" w:fill="auto"/>
            <w:noWrap/>
            <w:vAlign w:val="bottom"/>
            <w:hideMark/>
          </w:tcPr>
          <w:p w14:paraId="08C2D884"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13</w:t>
            </w:r>
          </w:p>
        </w:tc>
        <w:tc>
          <w:tcPr>
            <w:tcW w:w="1668" w:type="dxa"/>
            <w:tcBorders>
              <w:top w:val="nil"/>
              <w:left w:val="nil"/>
              <w:bottom w:val="single" w:sz="4" w:space="0" w:color="auto"/>
              <w:right w:val="single" w:sz="4" w:space="0" w:color="auto"/>
            </w:tcBorders>
            <w:shd w:val="clear" w:color="auto" w:fill="auto"/>
            <w:noWrap/>
            <w:vAlign w:val="bottom"/>
            <w:hideMark/>
          </w:tcPr>
          <w:p w14:paraId="35F8EDBC"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16</w:t>
            </w:r>
          </w:p>
        </w:tc>
        <w:tc>
          <w:tcPr>
            <w:tcW w:w="1126" w:type="dxa"/>
            <w:tcBorders>
              <w:top w:val="nil"/>
              <w:left w:val="nil"/>
              <w:bottom w:val="single" w:sz="4" w:space="0" w:color="auto"/>
              <w:right w:val="single" w:sz="4" w:space="0" w:color="auto"/>
            </w:tcBorders>
            <w:shd w:val="clear" w:color="auto" w:fill="auto"/>
            <w:noWrap/>
            <w:vAlign w:val="bottom"/>
            <w:hideMark/>
          </w:tcPr>
          <w:p w14:paraId="29C51E77"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passengers</w:t>
            </w:r>
          </w:p>
        </w:tc>
      </w:tr>
      <w:tr w:rsidR="004A55D9" w:rsidRPr="00102605" w14:paraId="24AA73F9"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333A1D57"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Average occupancy rate cars</w:t>
            </w:r>
          </w:p>
        </w:tc>
        <w:tc>
          <w:tcPr>
            <w:tcW w:w="1414" w:type="dxa"/>
            <w:tcBorders>
              <w:top w:val="nil"/>
              <w:left w:val="nil"/>
              <w:bottom w:val="single" w:sz="4" w:space="0" w:color="auto"/>
              <w:right w:val="single" w:sz="4" w:space="0" w:color="auto"/>
            </w:tcBorders>
            <w:shd w:val="clear" w:color="auto" w:fill="auto"/>
            <w:noWrap/>
            <w:vAlign w:val="bottom"/>
            <w:hideMark/>
          </w:tcPr>
          <w:p w14:paraId="57845D75"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1.3</w:t>
            </w:r>
          </w:p>
        </w:tc>
        <w:tc>
          <w:tcPr>
            <w:tcW w:w="1363" w:type="dxa"/>
            <w:tcBorders>
              <w:top w:val="nil"/>
              <w:left w:val="nil"/>
              <w:bottom w:val="single" w:sz="4" w:space="0" w:color="auto"/>
              <w:right w:val="single" w:sz="4" w:space="0" w:color="auto"/>
            </w:tcBorders>
            <w:shd w:val="clear" w:color="auto" w:fill="auto"/>
            <w:noWrap/>
            <w:vAlign w:val="bottom"/>
            <w:hideMark/>
          </w:tcPr>
          <w:p w14:paraId="0C023CF4"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1.4</w:t>
            </w:r>
          </w:p>
        </w:tc>
        <w:tc>
          <w:tcPr>
            <w:tcW w:w="1668" w:type="dxa"/>
            <w:tcBorders>
              <w:top w:val="nil"/>
              <w:left w:val="nil"/>
              <w:bottom w:val="single" w:sz="4" w:space="0" w:color="auto"/>
              <w:right w:val="single" w:sz="4" w:space="0" w:color="auto"/>
            </w:tcBorders>
            <w:shd w:val="clear" w:color="auto" w:fill="auto"/>
            <w:noWrap/>
            <w:vAlign w:val="bottom"/>
            <w:hideMark/>
          </w:tcPr>
          <w:p w14:paraId="4CE92240"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1.4</w:t>
            </w:r>
          </w:p>
        </w:tc>
        <w:tc>
          <w:tcPr>
            <w:tcW w:w="1126" w:type="dxa"/>
            <w:tcBorders>
              <w:top w:val="nil"/>
              <w:left w:val="nil"/>
              <w:bottom w:val="single" w:sz="4" w:space="0" w:color="auto"/>
              <w:right w:val="single" w:sz="4" w:space="0" w:color="auto"/>
            </w:tcBorders>
            <w:shd w:val="clear" w:color="auto" w:fill="auto"/>
            <w:noWrap/>
            <w:vAlign w:val="bottom"/>
            <w:hideMark/>
          </w:tcPr>
          <w:p w14:paraId="26D3C146"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passengers</w:t>
            </w:r>
          </w:p>
        </w:tc>
      </w:tr>
      <w:tr w:rsidR="004A55D9" w:rsidRPr="00102605" w14:paraId="3676725E"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3A2FCD42" w14:textId="77777777" w:rsidR="004A55D9" w:rsidRPr="00BA5C2B" w:rsidRDefault="004A55D9" w:rsidP="00BE745A">
            <w:pPr>
              <w:jc w:val="left"/>
              <w:rPr>
                <w:rFonts w:eastAsia="Times New Roman"/>
                <w:color w:val="000000"/>
                <w:sz w:val="18"/>
                <w:szCs w:val="18"/>
                <w:lang w:val="de-DE" w:eastAsia="de-DE"/>
              </w:rPr>
            </w:pPr>
            <w:r w:rsidRPr="00BA5C2B">
              <w:rPr>
                <w:rFonts w:eastAsia="Times New Roman"/>
                <w:color w:val="000000"/>
                <w:sz w:val="18"/>
                <w:szCs w:val="18"/>
                <w:lang w:val="de-DE" w:eastAsia="de-DE"/>
              </w:rPr>
              <w:t>EF per km diesel buses WTW</w:t>
            </w:r>
          </w:p>
        </w:tc>
        <w:tc>
          <w:tcPr>
            <w:tcW w:w="1414" w:type="dxa"/>
            <w:tcBorders>
              <w:top w:val="nil"/>
              <w:left w:val="nil"/>
              <w:bottom w:val="single" w:sz="4" w:space="0" w:color="auto"/>
              <w:right w:val="single" w:sz="4" w:space="0" w:color="auto"/>
            </w:tcBorders>
            <w:shd w:val="clear" w:color="auto" w:fill="auto"/>
            <w:noWrap/>
            <w:vAlign w:val="bottom"/>
            <w:hideMark/>
          </w:tcPr>
          <w:p w14:paraId="56E2207C"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1,212</w:t>
            </w:r>
          </w:p>
        </w:tc>
        <w:tc>
          <w:tcPr>
            <w:tcW w:w="1363" w:type="dxa"/>
            <w:tcBorders>
              <w:top w:val="nil"/>
              <w:left w:val="nil"/>
              <w:bottom w:val="single" w:sz="4" w:space="0" w:color="auto"/>
              <w:right w:val="single" w:sz="4" w:space="0" w:color="auto"/>
            </w:tcBorders>
            <w:shd w:val="clear" w:color="auto" w:fill="auto"/>
            <w:noWrap/>
            <w:vAlign w:val="bottom"/>
            <w:hideMark/>
          </w:tcPr>
          <w:p w14:paraId="3C052823"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1,062</w:t>
            </w:r>
          </w:p>
        </w:tc>
        <w:tc>
          <w:tcPr>
            <w:tcW w:w="1668" w:type="dxa"/>
            <w:tcBorders>
              <w:top w:val="nil"/>
              <w:left w:val="nil"/>
              <w:bottom w:val="single" w:sz="4" w:space="0" w:color="auto"/>
              <w:right w:val="single" w:sz="4" w:space="0" w:color="auto"/>
            </w:tcBorders>
            <w:shd w:val="clear" w:color="auto" w:fill="auto"/>
            <w:noWrap/>
            <w:vAlign w:val="bottom"/>
            <w:hideMark/>
          </w:tcPr>
          <w:p w14:paraId="2CE1A08E"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1,359</w:t>
            </w:r>
          </w:p>
        </w:tc>
        <w:tc>
          <w:tcPr>
            <w:tcW w:w="1126" w:type="dxa"/>
            <w:tcBorders>
              <w:top w:val="nil"/>
              <w:left w:val="nil"/>
              <w:bottom w:val="single" w:sz="4" w:space="0" w:color="auto"/>
              <w:right w:val="single" w:sz="4" w:space="0" w:color="auto"/>
            </w:tcBorders>
            <w:shd w:val="clear" w:color="auto" w:fill="auto"/>
            <w:noWrap/>
            <w:vAlign w:val="bottom"/>
            <w:hideMark/>
          </w:tcPr>
          <w:p w14:paraId="66D93941"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gCO2/km</w:t>
            </w:r>
          </w:p>
        </w:tc>
      </w:tr>
      <w:tr w:rsidR="004A55D9" w:rsidRPr="00102605" w14:paraId="0E12DE03"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90E4E5F"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EF per km electric buses WTW</w:t>
            </w:r>
          </w:p>
        </w:tc>
        <w:tc>
          <w:tcPr>
            <w:tcW w:w="1414" w:type="dxa"/>
            <w:tcBorders>
              <w:top w:val="nil"/>
              <w:left w:val="nil"/>
              <w:bottom w:val="single" w:sz="4" w:space="0" w:color="auto"/>
              <w:right w:val="single" w:sz="4" w:space="0" w:color="auto"/>
            </w:tcBorders>
            <w:shd w:val="clear" w:color="auto" w:fill="auto"/>
            <w:noWrap/>
            <w:vAlign w:val="bottom"/>
            <w:hideMark/>
          </w:tcPr>
          <w:p w14:paraId="34E184A1"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204</w:t>
            </w:r>
          </w:p>
        </w:tc>
        <w:tc>
          <w:tcPr>
            <w:tcW w:w="1363" w:type="dxa"/>
            <w:tcBorders>
              <w:top w:val="nil"/>
              <w:left w:val="nil"/>
              <w:bottom w:val="single" w:sz="4" w:space="0" w:color="auto"/>
              <w:right w:val="single" w:sz="4" w:space="0" w:color="auto"/>
            </w:tcBorders>
            <w:shd w:val="clear" w:color="auto" w:fill="auto"/>
            <w:noWrap/>
            <w:vAlign w:val="bottom"/>
            <w:hideMark/>
          </w:tcPr>
          <w:p w14:paraId="4AA9E08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115</w:t>
            </w:r>
          </w:p>
        </w:tc>
        <w:tc>
          <w:tcPr>
            <w:tcW w:w="1668" w:type="dxa"/>
            <w:tcBorders>
              <w:top w:val="nil"/>
              <w:left w:val="nil"/>
              <w:bottom w:val="single" w:sz="4" w:space="0" w:color="auto"/>
              <w:right w:val="single" w:sz="4" w:space="0" w:color="auto"/>
            </w:tcBorders>
            <w:shd w:val="clear" w:color="auto" w:fill="auto"/>
            <w:noWrap/>
            <w:vAlign w:val="bottom"/>
            <w:hideMark/>
          </w:tcPr>
          <w:p w14:paraId="7217F5FB"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220</w:t>
            </w:r>
          </w:p>
        </w:tc>
        <w:tc>
          <w:tcPr>
            <w:tcW w:w="1126" w:type="dxa"/>
            <w:tcBorders>
              <w:top w:val="nil"/>
              <w:left w:val="nil"/>
              <w:bottom w:val="single" w:sz="4" w:space="0" w:color="auto"/>
              <w:right w:val="single" w:sz="4" w:space="0" w:color="auto"/>
            </w:tcBorders>
            <w:shd w:val="clear" w:color="auto" w:fill="auto"/>
            <w:noWrap/>
            <w:vAlign w:val="bottom"/>
            <w:hideMark/>
          </w:tcPr>
          <w:p w14:paraId="1C4494F3"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gCO2/km</w:t>
            </w:r>
          </w:p>
        </w:tc>
      </w:tr>
      <w:tr w:rsidR="004A55D9" w:rsidRPr="00102605" w14:paraId="4ADC3027"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04DBC141"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EF per km cars WTW</w:t>
            </w:r>
          </w:p>
        </w:tc>
        <w:tc>
          <w:tcPr>
            <w:tcW w:w="1414" w:type="dxa"/>
            <w:tcBorders>
              <w:top w:val="nil"/>
              <w:left w:val="nil"/>
              <w:bottom w:val="single" w:sz="4" w:space="0" w:color="auto"/>
              <w:right w:val="single" w:sz="4" w:space="0" w:color="auto"/>
            </w:tcBorders>
            <w:shd w:val="clear" w:color="auto" w:fill="auto"/>
            <w:noWrap/>
            <w:vAlign w:val="bottom"/>
            <w:hideMark/>
          </w:tcPr>
          <w:p w14:paraId="7D919BDF"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230</w:t>
            </w:r>
          </w:p>
        </w:tc>
        <w:tc>
          <w:tcPr>
            <w:tcW w:w="1363" w:type="dxa"/>
            <w:tcBorders>
              <w:top w:val="nil"/>
              <w:left w:val="nil"/>
              <w:bottom w:val="single" w:sz="4" w:space="0" w:color="auto"/>
              <w:right w:val="single" w:sz="4" w:space="0" w:color="auto"/>
            </w:tcBorders>
            <w:shd w:val="clear" w:color="auto" w:fill="auto"/>
            <w:noWrap/>
            <w:vAlign w:val="bottom"/>
            <w:hideMark/>
          </w:tcPr>
          <w:p w14:paraId="5615C23B"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330</w:t>
            </w:r>
          </w:p>
        </w:tc>
        <w:tc>
          <w:tcPr>
            <w:tcW w:w="1668" w:type="dxa"/>
            <w:tcBorders>
              <w:top w:val="nil"/>
              <w:left w:val="nil"/>
              <w:bottom w:val="single" w:sz="4" w:space="0" w:color="auto"/>
              <w:right w:val="single" w:sz="4" w:space="0" w:color="auto"/>
            </w:tcBorders>
            <w:shd w:val="clear" w:color="auto" w:fill="auto"/>
            <w:noWrap/>
            <w:vAlign w:val="bottom"/>
            <w:hideMark/>
          </w:tcPr>
          <w:p w14:paraId="1BC933F8"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230</w:t>
            </w:r>
          </w:p>
        </w:tc>
        <w:tc>
          <w:tcPr>
            <w:tcW w:w="1126" w:type="dxa"/>
            <w:tcBorders>
              <w:top w:val="nil"/>
              <w:left w:val="nil"/>
              <w:bottom w:val="single" w:sz="4" w:space="0" w:color="auto"/>
              <w:right w:val="single" w:sz="4" w:space="0" w:color="auto"/>
            </w:tcBorders>
            <w:shd w:val="clear" w:color="auto" w:fill="auto"/>
            <w:noWrap/>
            <w:vAlign w:val="bottom"/>
            <w:hideMark/>
          </w:tcPr>
          <w:p w14:paraId="10DB5F1A"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gCO2/km</w:t>
            </w:r>
          </w:p>
        </w:tc>
      </w:tr>
      <w:tr w:rsidR="004A55D9" w:rsidRPr="00102605" w14:paraId="36CC7C33"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C301B7C"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xml:space="preserve">EF per </w:t>
            </w:r>
            <w:proofErr w:type="spellStart"/>
            <w:r w:rsidRPr="00102605">
              <w:rPr>
                <w:rFonts w:eastAsia="Times New Roman"/>
                <w:color w:val="000000"/>
                <w:sz w:val="18"/>
                <w:szCs w:val="18"/>
                <w:lang w:eastAsia="de-DE"/>
              </w:rPr>
              <w:t>pkm</w:t>
            </w:r>
            <w:proofErr w:type="spellEnd"/>
            <w:r w:rsidRPr="00102605">
              <w:rPr>
                <w:rFonts w:eastAsia="Times New Roman"/>
                <w:color w:val="000000"/>
                <w:sz w:val="18"/>
                <w:szCs w:val="18"/>
                <w:lang w:eastAsia="de-DE"/>
              </w:rPr>
              <w:t xml:space="preserve"> public transport </w:t>
            </w:r>
          </w:p>
        </w:tc>
        <w:tc>
          <w:tcPr>
            <w:tcW w:w="1414" w:type="dxa"/>
            <w:tcBorders>
              <w:top w:val="nil"/>
              <w:left w:val="nil"/>
              <w:bottom w:val="single" w:sz="4" w:space="0" w:color="auto"/>
              <w:right w:val="single" w:sz="4" w:space="0" w:color="auto"/>
            </w:tcBorders>
            <w:shd w:val="clear" w:color="auto" w:fill="auto"/>
            <w:noWrap/>
            <w:vAlign w:val="bottom"/>
            <w:hideMark/>
          </w:tcPr>
          <w:p w14:paraId="5C9B63A6"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41</w:t>
            </w:r>
          </w:p>
        </w:tc>
        <w:tc>
          <w:tcPr>
            <w:tcW w:w="1363" w:type="dxa"/>
            <w:tcBorders>
              <w:top w:val="nil"/>
              <w:left w:val="nil"/>
              <w:bottom w:val="single" w:sz="4" w:space="0" w:color="auto"/>
              <w:right w:val="single" w:sz="4" w:space="0" w:color="auto"/>
            </w:tcBorders>
            <w:shd w:val="clear" w:color="auto" w:fill="auto"/>
            <w:noWrap/>
            <w:vAlign w:val="bottom"/>
            <w:hideMark/>
          </w:tcPr>
          <w:p w14:paraId="504ABE08"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36</w:t>
            </w:r>
          </w:p>
        </w:tc>
        <w:tc>
          <w:tcPr>
            <w:tcW w:w="1668" w:type="dxa"/>
            <w:tcBorders>
              <w:top w:val="nil"/>
              <w:left w:val="nil"/>
              <w:bottom w:val="single" w:sz="4" w:space="0" w:color="auto"/>
              <w:right w:val="single" w:sz="4" w:space="0" w:color="auto"/>
            </w:tcBorders>
            <w:shd w:val="clear" w:color="auto" w:fill="auto"/>
            <w:noWrap/>
            <w:vAlign w:val="bottom"/>
            <w:hideMark/>
          </w:tcPr>
          <w:p w14:paraId="5E6913DE"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46</w:t>
            </w:r>
          </w:p>
        </w:tc>
        <w:tc>
          <w:tcPr>
            <w:tcW w:w="1126" w:type="dxa"/>
            <w:tcBorders>
              <w:top w:val="nil"/>
              <w:left w:val="nil"/>
              <w:bottom w:val="single" w:sz="4" w:space="0" w:color="auto"/>
              <w:right w:val="single" w:sz="4" w:space="0" w:color="auto"/>
            </w:tcBorders>
            <w:shd w:val="clear" w:color="auto" w:fill="auto"/>
            <w:noWrap/>
            <w:vAlign w:val="bottom"/>
            <w:hideMark/>
          </w:tcPr>
          <w:p w14:paraId="002C191F"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gCO2/</w:t>
            </w:r>
            <w:proofErr w:type="spellStart"/>
            <w:r w:rsidRPr="00102605">
              <w:rPr>
                <w:rFonts w:eastAsia="Times New Roman"/>
                <w:color w:val="000000"/>
                <w:sz w:val="18"/>
                <w:szCs w:val="18"/>
                <w:lang w:eastAsia="de-DE"/>
              </w:rPr>
              <w:t>pkm</w:t>
            </w:r>
            <w:proofErr w:type="spellEnd"/>
          </w:p>
        </w:tc>
      </w:tr>
      <w:tr w:rsidR="004A55D9" w:rsidRPr="00102605" w14:paraId="6FB3FE1E"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5DC5845F"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xml:space="preserve">EF per </w:t>
            </w:r>
            <w:proofErr w:type="spellStart"/>
            <w:r w:rsidRPr="00102605">
              <w:rPr>
                <w:rFonts w:eastAsia="Times New Roman"/>
                <w:color w:val="000000"/>
                <w:sz w:val="18"/>
                <w:szCs w:val="18"/>
                <w:lang w:eastAsia="de-DE"/>
              </w:rPr>
              <w:t>pkm</w:t>
            </w:r>
            <w:proofErr w:type="spellEnd"/>
            <w:r w:rsidRPr="00102605">
              <w:rPr>
                <w:rFonts w:eastAsia="Times New Roman"/>
                <w:color w:val="000000"/>
                <w:sz w:val="18"/>
                <w:szCs w:val="18"/>
                <w:lang w:eastAsia="de-DE"/>
              </w:rPr>
              <w:t xml:space="preserve"> cars</w:t>
            </w:r>
          </w:p>
        </w:tc>
        <w:tc>
          <w:tcPr>
            <w:tcW w:w="1414" w:type="dxa"/>
            <w:tcBorders>
              <w:top w:val="nil"/>
              <w:left w:val="nil"/>
              <w:bottom w:val="single" w:sz="4" w:space="0" w:color="auto"/>
              <w:right w:val="single" w:sz="4" w:space="0" w:color="auto"/>
            </w:tcBorders>
            <w:shd w:val="clear" w:color="auto" w:fill="auto"/>
            <w:noWrap/>
            <w:vAlign w:val="bottom"/>
            <w:hideMark/>
          </w:tcPr>
          <w:p w14:paraId="7D74228D"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179</w:t>
            </w:r>
          </w:p>
        </w:tc>
        <w:tc>
          <w:tcPr>
            <w:tcW w:w="1363" w:type="dxa"/>
            <w:tcBorders>
              <w:top w:val="nil"/>
              <w:left w:val="nil"/>
              <w:bottom w:val="single" w:sz="4" w:space="0" w:color="auto"/>
              <w:right w:val="single" w:sz="4" w:space="0" w:color="auto"/>
            </w:tcBorders>
            <w:shd w:val="clear" w:color="auto" w:fill="auto"/>
            <w:noWrap/>
            <w:vAlign w:val="bottom"/>
            <w:hideMark/>
          </w:tcPr>
          <w:p w14:paraId="6B5E6698"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236</w:t>
            </w:r>
          </w:p>
        </w:tc>
        <w:tc>
          <w:tcPr>
            <w:tcW w:w="1668" w:type="dxa"/>
            <w:tcBorders>
              <w:top w:val="nil"/>
              <w:left w:val="nil"/>
              <w:bottom w:val="single" w:sz="4" w:space="0" w:color="auto"/>
              <w:right w:val="single" w:sz="4" w:space="0" w:color="auto"/>
            </w:tcBorders>
            <w:shd w:val="clear" w:color="auto" w:fill="auto"/>
            <w:noWrap/>
            <w:vAlign w:val="bottom"/>
            <w:hideMark/>
          </w:tcPr>
          <w:p w14:paraId="1F92BA4D"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164</w:t>
            </w:r>
          </w:p>
        </w:tc>
        <w:tc>
          <w:tcPr>
            <w:tcW w:w="1126" w:type="dxa"/>
            <w:tcBorders>
              <w:top w:val="nil"/>
              <w:left w:val="nil"/>
              <w:bottom w:val="single" w:sz="4" w:space="0" w:color="auto"/>
              <w:right w:val="single" w:sz="4" w:space="0" w:color="auto"/>
            </w:tcBorders>
            <w:shd w:val="clear" w:color="auto" w:fill="auto"/>
            <w:noWrap/>
            <w:vAlign w:val="bottom"/>
            <w:hideMark/>
          </w:tcPr>
          <w:p w14:paraId="5B01D0CC"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gCO2/</w:t>
            </w:r>
            <w:proofErr w:type="spellStart"/>
            <w:r w:rsidRPr="00102605">
              <w:rPr>
                <w:rFonts w:eastAsia="Times New Roman"/>
                <w:color w:val="000000"/>
                <w:sz w:val="18"/>
                <w:szCs w:val="18"/>
                <w:lang w:eastAsia="de-DE"/>
              </w:rPr>
              <w:t>pkm</w:t>
            </w:r>
            <w:proofErr w:type="spellEnd"/>
          </w:p>
        </w:tc>
      </w:tr>
      <w:tr w:rsidR="004A55D9" w:rsidRPr="00102605" w14:paraId="5255AED3" w14:textId="77777777" w:rsidTr="00AE798F">
        <w:trPr>
          <w:trHeight w:val="225"/>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6728C732"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xml:space="preserve">Energy usage diesel bus per </w:t>
            </w:r>
            <w:proofErr w:type="spellStart"/>
            <w:r w:rsidRPr="00102605">
              <w:rPr>
                <w:rFonts w:eastAsia="Times New Roman"/>
                <w:color w:val="000000"/>
                <w:sz w:val="18"/>
                <w:szCs w:val="18"/>
                <w:lang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226EC493"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0.56</w:t>
            </w:r>
          </w:p>
        </w:tc>
        <w:tc>
          <w:tcPr>
            <w:tcW w:w="1363" w:type="dxa"/>
            <w:tcBorders>
              <w:top w:val="nil"/>
              <w:left w:val="nil"/>
              <w:bottom w:val="single" w:sz="4" w:space="0" w:color="auto"/>
              <w:right w:val="single" w:sz="4" w:space="0" w:color="auto"/>
            </w:tcBorders>
            <w:shd w:val="clear" w:color="auto" w:fill="auto"/>
            <w:noWrap/>
            <w:vAlign w:val="center"/>
            <w:hideMark/>
          </w:tcPr>
          <w:p w14:paraId="0E77F51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0.85</w:t>
            </w:r>
          </w:p>
        </w:tc>
        <w:tc>
          <w:tcPr>
            <w:tcW w:w="1668" w:type="dxa"/>
            <w:tcBorders>
              <w:top w:val="nil"/>
              <w:left w:val="nil"/>
              <w:bottom w:val="single" w:sz="4" w:space="0" w:color="auto"/>
              <w:right w:val="single" w:sz="4" w:space="0" w:color="auto"/>
            </w:tcBorders>
            <w:shd w:val="clear" w:color="auto" w:fill="auto"/>
            <w:noWrap/>
            <w:vAlign w:val="center"/>
            <w:hideMark/>
          </w:tcPr>
          <w:p w14:paraId="2B0294AD"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0.92</w:t>
            </w:r>
          </w:p>
        </w:tc>
        <w:tc>
          <w:tcPr>
            <w:tcW w:w="1126" w:type="dxa"/>
            <w:tcBorders>
              <w:top w:val="nil"/>
              <w:left w:val="nil"/>
              <w:bottom w:val="single" w:sz="4" w:space="0" w:color="auto"/>
              <w:right w:val="single" w:sz="4" w:space="0" w:color="auto"/>
            </w:tcBorders>
            <w:shd w:val="clear" w:color="auto" w:fill="auto"/>
            <w:noWrap/>
            <w:vAlign w:val="bottom"/>
            <w:hideMark/>
          </w:tcPr>
          <w:p w14:paraId="1D0E8D76"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MJ/</w:t>
            </w:r>
            <w:proofErr w:type="spellStart"/>
            <w:r w:rsidRPr="00102605">
              <w:rPr>
                <w:rFonts w:eastAsia="Times New Roman"/>
                <w:color w:val="000000"/>
                <w:sz w:val="18"/>
                <w:szCs w:val="18"/>
                <w:lang w:eastAsia="de-DE"/>
              </w:rPr>
              <w:t>pkm</w:t>
            </w:r>
            <w:proofErr w:type="spellEnd"/>
          </w:p>
        </w:tc>
      </w:tr>
      <w:tr w:rsidR="004A55D9" w:rsidRPr="00102605" w14:paraId="1A31DC00" w14:textId="77777777" w:rsidTr="00AE798F">
        <w:trPr>
          <w:trHeight w:val="225"/>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3C20AF04"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xml:space="preserve">Energy usage electric bus per </w:t>
            </w:r>
            <w:proofErr w:type="spellStart"/>
            <w:r w:rsidRPr="00102605">
              <w:rPr>
                <w:rFonts w:eastAsia="Times New Roman"/>
                <w:color w:val="000000"/>
                <w:sz w:val="18"/>
                <w:szCs w:val="18"/>
                <w:lang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4CE7088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0.20</w:t>
            </w:r>
          </w:p>
        </w:tc>
        <w:tc>
          <w:tcPr>
            <w:tcW w:w="1363" w:type="dxa"/>
            <w:tcBorders>
              <w:top w:val="nil"/>
              <w:left w:val="nil"/>
              <w:bottom w:val="single" w:sz="4" w:space="0" w:color="auto"/>
              <w:right w:val="single" w:sz="4" w:space="0" w:color="auto"/>
            </w:tcBorders>
            <w:shd w:val="clear" w:color="auto" w:fill="auto"/>
            <w:noWrap/>
            <w:vAlign w:val="center"/>
            <w:hideMark/>
          </w:tcPr>
          <w:p w14:paraId="563F790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0.35</w:t>
            </w:r>
          </w:p>
        </w:tc>
        <w:tc>
          <w:tcPr>
            <w:tcW w:w="1668" w:type="dxa"/>
            <w:tcBorders>
              <w:top w:val="nil"/>
              <w:left w:val="nil"/>
              <w:bottom w:val="single" w:sz="4" w:space="0" w:color="auto"/>
              <w:right w:val="single" w:sz="4" w:space="0" w:color="auto"/>
            </w:tcBorders>
            <w:shd w:val="clear" w:color="auto" w:fill="auto"/>
            <w:noWrap/>
            <w:vAlign w:val="center"/>
            <w:hideMark/>
          </w:tcPr>
          <w:p w14:paraId="5C13457B"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0.30</w:t>
            </w:r>
          </w:p>
        </w:tc>
        <w:tc>
          <w:tcPr>
            <w:tcW w:w="1126" w:type="dxa"/>
            <w:tcBorders>
              <w:top w:val="nil"/>
              <w:left w:val="nil"/>
              <w:bottom w:val="single" w:sz="4" w:space="0" w:color="auto"/>
              <w:right w:val="single" w:sz="4" w:space="0" w:color="auto"/>
            </w:tcBorders>
            <w:shd w:val="clear" w:color="auto" w:fill="auto"/>
            <w:noWrap/>
            <w:vAlign w:val="bottom"/>
            <w:hideMark/>
          </w:tcPr>
          <w:p w14:paraId="6A5D5925"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MJ/</w:t>
            </w:r>
            <w:proofErr w:type="spellStart"/>
            <w:r w:rsidRPr="00102605">
              <w:rPr>
                <w:rFonts w:eastAsia="Times New Roman"/>
                <w:color w:val="000000"/>
                <w:sz w:val="18"/>
                <w:szCs w:val="18"/>
                <w:lang w:eastAsia="de-DE"/>
              </w:rPr>
              <w:t>pkm</w:t>
            </w:r>
            <w:proofErr w:type="spellEnd"/>
          </w:p>
        </w:tc>
      </w:tr>
      <w:tr w:rsidR="004A55D9" w:rsidRPr="00102605" w14:paraId="23EA7EC9" w14:textId="77777777" w:rsidTr="00AE798F">
        <w:trPr>
          <w:trHeight w:val="347"/>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05D1B3A3"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 xml:space="preserve">Energy usage car per </w:t>
            </w:r>
            <w:proofErr w:type="spellStart"/>
            <w:r w:rsidRPr="00102605">
              <w:rPr>
                <w:rFonts w:eastAsia="Times New Roman"/>
                <w:color w:val="000000"/>
                <w:sz w:val="18"/>
                <w:szCs w:val="18"/>
                <w:lang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58E51A34"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1.9</w:t>
            </w:r>
          </w:p>
        </w:tc>
        <w:tc>
          <w:tcPr>
            <w:tcW w:w="1363" w:type="dxa"/>
            <w:tcBorders>
              <w:top w:val="nil"/>
              <w:left w:val="nil"/>
              <w:bottom w:val="single" w:sz="4" w:space="0" w:color="auto"/>
              <w:right w:val="single" w:sz="4" w:space="0" w:color="auto"/>
            </w:tcBorders>
            <w:shd w:val="clear" w:color="auto" w:fill="auto"/>
            <w:noWrap/>
            <w:vAlign w:val="center"/>
            <w:hideMark/>
          </w:tcPr>
          <w:p w14:paraId="682B1A40"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2.6</w:t>
            </w:r>
          </w:p>
        </w:tc>
        <w:tc>
          <w:tcPr>
            <w:tcW w:w="1668" w:type="dxa"/>
            <w:tcBorders>
              <w:top w:val="nil"/>
              <w:left w:val="nil"/>
              <w:bottom w:val="single" w:sz="4" w:space="0" w:color="auto"/>
              <w:right w:val="single" w:sz="4" w:space="0" w:color="auto"/>
            </w:tcBorders>
            <w:shd w:val="clear" w:color="auto" w:fill="auto"/>
            <w:noWrap/>
            <w:vAlign w:val="center"/>
            <w:hideMark/>
          </w:tcPr>
          <w:p w14:paraId="589AEF87"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1.9</w:t>
            </w:r>
          </w:p>
        </w:tc>
        <w:tc>
          <w:tcPr>
            <w:tcW w:w="1126" w:type="dxa"/>
            <w:tcBorders>
              <w:top w:val="nil"/>
              <w:left w:val="nil"/>
              <w:bottom w:val="single" w:sz="4" w:space="0" w:color="auto"/>
              <w:right w:val="single" w:sz="4" w:space="0" w:color="auto"/>
            </w:tcBorders>
            <w:shd w:val="clear" w:color="auto" w:fill="auto"/>
            <w:noWrap/>
            <w:vAlign w:val="bottom"/>
            <w:hideMark/>
          </w:tcPr>
          <w:p w14:paraId="4AE3E58F"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MJ/</w:t>
            </w:r>
            <w:proofErr w:type="spellStart"/>
            <w:r w:rsidRPr="00102605">
              <w:rPr>
                <w:rFonts w:eastAsia="Times New Roman"/>
                <w:color w:val="000000"/>
                <w:sz w:val="18"/>
                <w:szCs w:val="18"/>
                <w:lang w:eastAsia="de-DE"/>
              </w:rPr>
              <w:t>pkm</w:t>
            </w:r>
            <w:proofErr w:type="spellEnd"/>
          </w:p>
        </w:tc>
      </w:tr>
      <w:tr w:rsidR="004A55D9" w:rsidRPr="00102605" w14:paraId="62975088" w14:textId="77777777" w:rsidTr="00AE798F">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60EA4B5"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Average trip distance</w:t>
            </w:r>
          </w:p>
        </w:tc>
        <w:tc>
          <w:tcPr>
            <w:tcW w:w="1414" w:type="dxa"/>
            <w:tcBorders>
              <w:top w:val="nil"/>
              <w:left w:val="nil"/>
              <w:bottom w:val="single" w:sz="4" w:space="0" w:color="auto"/>
              <w:right w:val="single" w:sz="4" w:space="0" w:color="auto"/>
            </w:tcBorders>
            <w:shd w:val="clear" w:color="auto" w:fill="auto"/>
            <w:noWrap/>
            <w:vAlign w:val="bottom"/>
            <w:hideMark/>
          </w:tcPr>
          <w:p w14:paraId="2AD19CBB"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17</w:t>
            </w:r>
          </w:p>
        </w:tc>
        <w:tc>
          <w:tcPr>
            <w:tcW w:w="1363" w:type="dxa"/>
            <w:tcBorders>
              <w:top w:val="nil"/>
              <w:left w:val="nil"/>
              <w:bottom w:val="single" w:sz="4" w:space="0" w:color="auto"/>
              <w:right w:val="single" w:sz="4" w:space="0" w:color="auto"/>
            </w:tcBorders>
            <w:shd w:val="clear" w:color="auto" w:fill="auto"/>
            <w:noWrap/>
            <w:vAlign w:val="bottom"/>
            <w:hideMark/>
          </w:tcPr>
          <w:p w14:paraId="467677D7"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8</w:t>
            </w:r>
          </w:p>
        </w:tc>
        <w:tc>
          <w:tcPr>
            <w:tcW w:w="1668" w:type="dxa"/>
            <w:tcBorders>
              <w:top w:val="nil"/>
              <w:left w:val="nil"/>
              <w:bottom w:val="single" w:sz="4" w:space="0" w:color="auto"/>
              <w:right w:val="single" w:sz="4" w:space="0" w:color="auto"/>
            </w:tcBorders>
            <w:shd w:val="clear" w:color="auto" w:fill="auto"/>
            <w:noWrap/>
            <w:vAlign w:val="bottom"/>
            <w:hideMark/>
          </w:tcPr>
          <w:p w14:paraId="49E05F00"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6</w:t>
            </w:r>
          </w:p>
        </w:tc>
        <w:tc>
          <w:tcPr>
            <w:tcW w:w="1126" w:type="dxa"/>
            <w:tcBorders>
              <w:top w:val="nil"/>
              <w:left w:val="nil"/>
              <w:bottom w:val="single" w:sz="4" w:space="0" w:color="auto"/>
              <w:right w:val="single" w:sz="4" w:space="0" w:color="auto"/>
            </w:tcBorders>
            <w:shd w:val="clear" w:color="auto" w:fill="auto"/>
            <w:noWrap/>
            <w:vAlign w:val="bottom"/>
            <w:hideMark/>
          </w:tcPr>
          <w:p w14:paraId="3FA9726B"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km</w:t>
            </w:r>
          </w:p>
        </w:tc>
      </w:tr>
      <w:tr w:rsidR="004A55D9" w:rsidRPr="00102605" w14:paraId="229DADE6" w14:textId="77777777" w:rsidTr="00AE798F">
        <w:trPr>
          <w:trHeight w:val="163"/>
        </w:trPr>
        <w:tc>
          <w:tcPr>
            <w:tcW w:w="3688" w:type="dxa"/>
            <w:tcBorders>
              <w:top w:val="nil"/>
              <w:left w:val="nil"/>
              <w:bottom w:val="nil"/>
              <w:right w:val="nil"/>
            </w:tcBorders>
            <w:shd w:val="clear" w:color="auto" w:fill="auto"/>
            <w:noWrap/>
            <w:vAlign w:val="bottom"/>
            <w:hideMark/>
          </w:tcPr>
          <w:p w14:paraId="61F94D31" w14:textId="77777777" w:rsidR="004A55D9" w:rsidRPr="00102605" w:rsidRDefault="004A55D9" w:rsidP="00BE745A">
            <w:pPr>
              <w:jc w:val="left"/>
              <w:rPr>
                <w:rFonts w:eastAsia="Times New Roman"/>
                <w:color w:val="000000"/>
                <w:sz w:val="18"/>
                <w:szCs w:val="18"/>
                <w:lang w:eastAsia="de-DE"/>
              </w:rPr>
            </w:pPr>
          </w:p>
        </w:tc>
        <w:tc>
          <w:tcPr>
            <w:tcW w:w="1414" w:type="dxa"/>
            <w:tcBorders>
              <w:top w:val="nil"/>
              <w:left w:val="nil"/>
              <w:bottom w:val="nil"/>
              <w:right w:val="nil"/>
            </w:tcBorders>
            <w:shd w:val="clear" w:color="auto" w:fill="auto"/>
            <w:noWrap/>
            <w:vAlign w:val="bottom"/>
            <w:hideMark/>
          </w:tcPr>
          <w:p w14:paraId="34133E32" w14:textId="77777777" w:rsidR="004A55D9" w:rsidRPr="00102605" w:rsidRDefault="004A55D9" w:rsidP="00BE745A">
            <w:pPr>
              <w:jc w:val="left"/>
              <w:rPr>
                <w:rFonts w:eastAsia="Times New Roman"/>
                <w:sz w:val="18"/>
                <w:szCs w:val="18"/>
                <w:lang w:eastAsia="de-DE"/>
              </w:rPr>
            </w:pPr>
          </w:p>
        </w:tc>
        <w:tc>
          <w:tcPr>
            <w:tcW w:w="1363" w:type="dxa"/>
            <w:tcBorders>
              <w:top w:val="nil"/>
              <w:left w:val="nil"/>
              <w:bottom w:val="nil"/>
              <w:right w:val="nil"/>
            </w:tcBorders>
            <w:shd w:val="clear" w:color="auto" w:fill="auto"/>
            <w:noWrap/>
            <w:vAlign w:val="bottom"/>
            <w:hideMark/>
          </w:tcPr>
          <w:p w14:paraId="6145E57F" w14:textId="77777777" w:rsidR="004A55D9" w:rsidRPr="00102605" w:rsidRDefault="004A55D9" w:rsidP="00BE745A">
            <w:pPr>
              <w:jc w:val="left"/>
              <w:rPr>
                <w:rFonts w:eastAsia="Times New Roman"/>
                <w:sz w:val="18"/>
                <w:szCs w:val="18"/>
                <w:lang w:eastAsia="de-DE"/>
              </w:rPr>
            </w:pPr>
          </w:p>
        </w:tc>
        <w:tc>
          <w:tcPr>
            <w:tcW w:w="1668" w:type="dxa"/>
            <w:tcBorders>
              <w:top w:val="nil"/>
              <w:left w:val="nil"/>
              <w:bottom w:val="nil"/>
              <w:right w:val="nil"/>
            </w:tcBorders>
            <w:shd w:val="clear" w:color="auto" w:fill="auto"/>
            <w:noWrap/>
            <w:vAlign w:val="bottom"/>
            <w:hideMark/>
          </w:tcPr>
          <w:p w14:paraId="5182111A" w14:textId="77777777" w:rsidR="004A55D9" w:rsidRPr="00102605" w:rsidRDefault="004A55D9" w:rsidP="00BE745A">
            <w:pPr>
              <w:jc w:val="left"/>
              <w:rPr>
                <w:rFonts w:eastAsia="Times New Roman"/>
                <w:sz w:val="18"/>
                <w:szCs w:val="18"/>
                <w:lang w:eastAsia="de-DE"/>
              </w:rPr>
            </w:pPr>
          </w:p>
        </w:tc>
        <w:tc>
          <w:tcPr>
            <w:tcW w:w="1126" w:type="dxa"/>
            <w:tcBorders>
              <w:top w:val="nil"/>
              <w:left w:val="nil"/>
              <w:bottom w:val="nil"/>
              <w:right w:val="nil"/>
            </w:tcBorders>
            <w:shd w:val="clear" w:color="auto" w:fill="auto"/>
            <w:noWrap/>
            <w:vAlign w:val="bottom"/>
            <w:hideMark/>
          </w:tcPr>
          <w:p w14:paraId="05D6F5BB" w14:textId="77777777" w:rsidR="004A55D9" w:rsidRPr="00102605" w:rsidRDefault="004A55D9" w:rsidP="00BE745A">
            <w:pPr>
              <w:jc w:val="left"/>
              <w:rPr>
                <w:rFonts w:eastAsia="Times New Roman"/>
                <w:sz w:val="18"/>
                <w:szCs w:val="18"/>
                <w:lang w:eastAsia="de-DE"/>
              </w:rPr>
            </w:pPr>
          </w:p>
        </w:tc>
      </w:tr>
      <w:tr w:rsidR="004A55D9" w:rsidRPr="00102605" w14:paraId="6EB332B4" w14:textId="77777777" w:rsidTr="00AE798F">
        <w:trPr>
          <w:trHeight w:val="17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5156B" w14:textId="77777777" w:rsidR="004A55D9" w:rsidRPr="00102605" w:rsidRDefault="004A55D9" w:rsidP="00BE745A">
            <w:pPr>
              <w:jc w:val="left"/>
              <w:rPr>
                <w:rFonts w:eastAsia="Times New Roman"/>
                <w:color w:val="000000"/>
                <w:sz w:val="18"/>
                <w:szCs w:val="18"/>
                <w:lang w:eastAsia="de-DE"/>
              </w:rPr>
            </w:pPr>
            <w:r w:rsidRPr="00102605">
              <w:rPr>
                <w:rFonts w:eastAsia="Times New Roman"/>
                <w:color w:val="000000"/>
                <w:sz w:val="18"/>
                <w:szCs w:val="18"/>
                <w:lang w:eastAsia="de-DE"/>
              </w:rPr>
              <w:t>Share of electric vehicles on PT (Share of electric buses on bus / PT fleet in the respective city (with the implementation of the projects)</w:t>
            </w:r>
            <w:r w:rsidRPr="00102605">
              <w:rPr>
                <w:rFonts w:eastAsia="Times New Roman"/>
                <w:color w:val="000000"/>
                <w:sz w:val="18"/>
                <w:szCs w:val="18"/>
                <w:lang w:eastAsia="de-DE"/>
              </w:rPr>
              <w:tab/>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27B35A94"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6A695CA"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5FCD3ECC" w14:textId="77777777" w:rsidR="004A55D9" w:rsidRPr="00102605" w:rsidRDefault="004A55D9" w:rsidP="00BE745A">
            <w:pPr>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5FEEFED6" w14:textId="77777777" w:rsidR="004A55D9" w:rsidRPr="00102605" w:rsidRDefault="004A55D9" w:rsidP="00BE745A">
            <w:pPr>
              <w:jc w:val="left"/>
              <w:rPr>
                <w:rFonts w:eastAsia="Times New Roman"/>
                <w:color w:val="000000"/>
                <w:sz w:val="18"/>
                <w:szCs w:val="18"/>
                <w:lang w:eastAsia="de-DE"/>
              </w:rPr>
            </w:pPr>
          </w:p>
        </w:tc>
      </w:tr>
      <w:tr w:rsidR="004A55D9" w:rsidRPr="00102605" w14:paraId="522959AF" w14:textId="77777777" w:rsidTr="00AE798F">
        <w:trPr>
          <w:trHeight w:val="163"/>
        </w:trPr>
        <w:tc>
          <w:tcPr>
            <w:tcW w:w="3688" w:type="dxa"/>
            <w:tcBorders>
              <w:top w:val="nil"/>
              <w:left w:val="nil"/>
              <w:bottom w:val="nil"/>
              <w:right w:val="nil"/>
            </w:tcBorders>
            <w:shd w:val="clear" w:color="auto" w:fill="auto"/>
            <w:noWrap/>
            <w:vAlign w:val="bottom"/>
            <w:hideMark/>
          </w:tcPr>
          <w:p w14:paraId="6BAD10DC" w14:textId="77777777" w:rsidR="004A55D9" w:rsidRPr="00102605" w:rsidRDefault="004A55D9" w:rsidP="00BE745A">
            <w:pPr>
              <w:jc w:val="left"/>
              <w:rPr>
                <w:rFonts w:eastAsia="Times New Roman"/>
                <w:color w:val="000000"/>
                <w:sz w:val="18"/>
                <w:szCs w:val="18"/>
                <w:lang w:eastAsia="de-DE"/>
              </w:rPr>
            </w:pPr>
          </w:p>
        </w:tc>
        <w:tc>
          <w:tcPr>
            <w:tcW w:w="1414" w:type="dxa"/>
            <w:tcBorders>
              <w:top w:val="nil"/>
              <w:left w:val="nil"/>
              <w:bottom w:val="nil"/>
              <w:right w:val="nil"/>
            </w:tcBorders>
            <w:shd w:val="clear" w:color="auto" w:fill="auto"/>
            <w:noWrap/>
            <w:vAlign w:val="bottom"/>
            <w:hideMark/>
          </w:tcPr>
          <w:p w14:paraId="696CB04B" w14:textId="77777777" w:rsidR="004A55D9" w:rsidRPr="00102605" w:rsidRDefault="004A55D9" w:rsidP="00BE745A">
            <w:pPr>
              <w:jc w:val="left"/>
              <w:rPr>
                <w:rFonts w:eastAsia="Times New Roman"/>
                <w:sz w:val="18"/>
                <w:szCs w:val="18"/>
                <w:lang w:eastAsia="de-DE"/>
              </w:rPr>
            </w:pPr>
          </w:p>
        </w:tc>
        <w:tc>
          <w:tcPr>
            <w:tcW w:w="1363" w:type="dxa"/>
            <w:tcBorders>
              <w:top w:val="nil"/>
              <w:left w:val="nil"/>
              <w:bottom w:val="nil"/>
              <w:right w:val="nil"/>
            </w:tcBorders>
            <w:shd w:val="clear" w:color="auto" w:fill="auto"/>
            <w:noWrap/>
            <w:vAlign w:val="bottom"/>
            <w:hideMark/>
          </w:tcPr>
          <w:p w14:paraId="09B42E80" w14:textId="77777777" w:rsidR="004A55D9" w:rsidRPr="00102605" w:rsidRDefault="004A55D9" w:rsidP="00BE745A">
            <w:pPr>
              <w:jc w:val="left"/>
              <w:rPr>
                <w:rFonts w:eastAsia="Times New Roman"/>
                <w:sz w:val="18"/>
                <w:szCs w:val="18"/>
                <w:lang w:eastAsia="de-DE"/>
              </w:rPr>
            </w:pPr>
          </w:p>
        </w:tc>
        <w:tc>
          <w:tcPr>
            <w:tcW w:w="1668" w:type="dxa"/>
            <w:tcBorders>
              <w:top w:val="nil"/>
              <w:left w:val="nil"/>
              <w:bottom w:val="nil"/>
              <w:right w:val="nil"/>
            </w:tcBorders>
            <w:shd w:val="clear" w:color="auto" w:fill="auto"/>
            <w:noWrap/>
            <w:vAlign w:val="bottom"/>
            <w:hideMark/>
          </w:tcPr>
          <w:p w14:paraId="6068A4A3" w14:textId="77777777" w:rsidR="004A55D9" w:rsidRPr="00102605" w:rsidRDefault="004A55D9" w:rsidP="00BE745A">
            <w:pPr>
              <w:jc w:val="left"/>
              <w:rPr>
                <w:rFonts w:eastAsia="Times New Roman"/>
                <w:sz w:val="18"/>
                <w:szCs w:val="18"/>
                <w:lang w:eastAsia="de-DE"/>
              </w:rPr>
            </w:pPr>
          </w:p>
        </w:tc>
        <w:tc>
          <w:tcPr>
            <w:tcW w:w="1126" w:type="dxa"/>
            <w:tcBorders>
              <w:top w:val="nil"/>
              <w:left w:val="nil"/>
              <w:bottom w:val="nil"/>
              <w:right w:val="nil"/>
            </w:tcBorders>
            <w:shd w:val="clear" w:color="auto" w:fill="auto"/>
            <w:noWrap/>
            <w:vAlign w:val="bottom"/>
            <w:hideMark/>
          </w:tcPr>
          <w:p w14:paraId="2980EDA3" w14:textId="77777777" w:rsidR="004A55D9" w:rsidRPr="00102605" w:rsidRDefault="004A55D9" w:rsidP="00BE745A">
            <w:pPr>
              <w:jc w:val="left"/>
              <w:rPr>
                <w:rFonts w:eastAsia="Times New Roman"/>
                <w:sz w:val="18"/>
                <w:szCs w:val="18"/>
                <w:lang w:eastAsia="de-DE"/>
              </w:rPr>
            </w:pPr>
          </w:p>
        </w:tc>
      </w:tr>
      <w:tr w:rsidR="004A55D9" w:rsidRPr="00102605" w14:paraId="0150BC4E" w14:textId="77777777" w:rsidTr="00AE798F">
        <w:trPr>
          <w:trHeight w:val="163"/>
        </w:trPr>
        <w:tc>
          <w:tcPr>
            <w:tcW w:w="3688" w:type="dxa"/>
            <w:tcBorders>
              <w:top w:val="nil"/>
              <w:left w:val="nil"/>
              <w:bottom w:val="nil"/>
              <w:right w:val="nil"/>
            </w:tcBorders>
            <w:shd w:val="clear" w:color="auto" w:fill="auto"/>
            <w:noWrap/>
            <w:vAlign w:val="bottom"/>
            <w:hideMark/>
          </w:tcPr>
          <w:p w14:paraId="176275C1" w14:textId="77777777" w:rsidR="004A55D9" w:rsidRPr="00102605" w:rsidRDefault="004A55D9" w:rsidP="00BE745A">
            <w:pPr>
              <w:jc w:val="left"/>
              <w:rPr>
                <w:rFonts w:eastAsia="Times New Roman"/>
                <w:b/>
                <w:bCs/>
                <w:color w:val="000000"/>
                <w:sz w:val="18"/>
                <w:szCs w:val="18"/>
                <w:lang w:eastAsia="de-DE"/>
              </w:rPr>
            </w:pPr>
            <w:r w:rsidRPr="00102605">
              <w:rPr>
                <w:rFonts w:eastAsia="Times New Roman"/>
                <w:b/>
                <w:bCs/>
                <w:color w:val="000000"/>
                <w:sz w:val="18"/>
                <w:szCs w:val="18"/>
                <w:lang w:eastAsia="de-DE"/>
              </w:rPr>
              <w:t>PT impact</w:t>
            </w:r>
          </w:p>
        </w:tc>
        <w:tc>
          <w:tcPr>
            <w:tcW w:w="1414" w:type="dxa"/>
            <w:tcBorders>
              <w:top w:val="nil"/>
              <w:left w:val="nil"/>
              <w:bottom w:val="nil"/>
              <w:right w:val="nil"/>
            </w:tcBorders>
            <w:shd w:val="clear" w:color="auto" w:fill="auto"/>
            <w:noWrap/>
            <w:vAlign w:val="bottom"/>
            <w:hideMark/>
          </w:tcPr>
          <w:p w14:paraId="374C2529" w14:textId="77777777" w:rsidR="004A55D9" w:rsidRPr="00102605" w:rsidRDefault="004A55D9" w:rsidP="00BE745A">
            <w:pPr>
              <w:jc w:val="center"/>
              <w:rPr>
                <w:rFonts w:eastAsia="Times New Roman"/>
                <w:b/>
                <w:bCs/>
                <w:color w:val="000000"/>
                <w:sz w:val="18"/>
                <w:szCs w:val="18"/>
                <w:lang w:eastAsia="de-DE"/>
              </w:rPr>
            </w:pPr>
            <w:r w:rsidRPr="00102605">
              <w:rPr>
                <w:rFonts w:eastAsia="Times New Roman"/>
                <w:b/>
                <w:bCs/>
                <w:color w:val="000000"/>
                <w:sz w:val="18"/>
                <w:szCs w:val="18"/>
                <w:lang w:eastAsia="de-DE"/>
              </w:rPr>
              <w:t>PA (not included)</w:t>
            </w:r>
          </w:p>
        </w:tc>
        <w:tc>
          <w:tcPr>
            <w:tcW w:w="1363" w:type="dxa"/>
            <w:tcBorders>
              <w:top w:val="nil"/>
              <w:left w:val="nil"/>
              <w:bottom w:val="nil"/>
              <w:right w:val="nil"/>
            </w:tcBorders>
            <w:shd w:val="clear" w:color="auto" w:fill="auto"/>
            <w:noWrap/>
            <w:vAlign w:val="bottom"/>
            <w:hideMark/>
          </w:tcPr>
          <w:p w14:paraId="7F3A6AA3" w14:textId="77777777" w:rsidR="004A55D9" w:rsidRPr="00102605" w:rsidRDefault="004A55D9" w:rsidP="00BE745A">
            <w:pPr>
              <w:jc w:val="center"/>
              <w:rPr>
                <w:rFonts w:eastAsia="Times New Roman"/>
                <w:sz w:val="18"/>
                <w:szCs w:val="18"/>
                <w:lang w:eastAsia="de-DE"/>
              </w:rPr>
            </w:pPr>
            <w:r w:rsidRPr="00102605">
              <w:rPr>
                <w:rFonts w:eastAsia="Times New Roman"/>
                <w:b/>
                <w:bCs/>
                <w:color w:val="000000"/>
                <w:sz w:val="18"/>
                <w:szCs w:val="18"/>
                <w:lang w:eastAsia="de-DE"/>
              </w:rPr>
              <w:t>PY</w:t>
            </w:r>
          </w:p>
        </w:tc>
        <w:tc>
          <w:tcPr>
            <w:tcW w:w="1668" w:type="dxa"/>
            <w:tcBorders>
              <w:top w:val="nil"/>
              <w:left w:val="nil"/>
              <w:bottom w:val="nil"/>
              <w:right w:val="nil"/>
            </w:tcBorders>
            <w:shd w:val="clear" w:color="auto" w:fill="auto"/>
            <w:noWrap/>
            <w:vAlign w:val="bottom"/>
            <w:hideMark/>
          </w:tcPr>
          <w:p w14:paraId="7F19D9C2" w14:textId="77777777" w:rsidR="004A55D9" w:rsidRPr="00102605" w:rsidRDefault="004A55D9" w:rsidP="00BE745A">
            <w:pPr>
              <w:jc w:val="center"/>
              <w:rPr>
                <w:rFonts w:eastAsia="Times New Roman"/>
                <w:sz w:val="18"/>
                <w:szCs w:val="18"/>
                <w:lang w:eastAsia="de-DE"/>
              </w:rPr>
            </w:pPr>
            <w:r w:rsidRPr="00102605">
              <w:rPr>
                <w:rFonts w:eastAsia="Times New Roman"/>
                <w:b/>
                <w:bCs/>
                <w:color w:val="000000"/>
                <w:sz w:val="18"/>
                <w:szCs w:val="18"/>
                <w:lang w:eastAsia="de-DE"/>
              </w:rPr>
              <w:t>UY</w:t>
            </w:r>
          </w:p>
        </w:tc>
        <w:tc>
          <w:tcPr>
            <w:tcW w:w="1126" w:type="dxa"/>
            <w:tcBorders>
              <w:top w:val="nil"/>
              <w:left w:val="nil"/>
              <w:bottom w:val="nil"/>
              <w:right w:val="nil"/>
            </w:tcBorders>
            <w:shd w:val="clear" w:color="auto" w:fill="auto"/>
            <w:noWrap/>
            <w:vAlign w:val="bottom"/>
            <w:hideMark/>
          </w:tcPr>
          <w:p w14:paraId="1DC3F312" w14:textId="77777777" w:rsidR="004A55D9" w:rsidRPr="00102605" w:rsidRDefault="004A55D9" w:rsidP="00BE745A">
            <w:pPr>
              <w:jc w:val="left"/>
              <w:rPr>
                <w:rFonts w:eastAsia="Times New Roman"/>
                <w:sz w:val="18"/>
                <w:szCs w:val="18"/>
                <w:lang w:eastAsia="de-DE"/>
              </w:rPr>
            </w:pPr>
          </w:p>
        </w:tc>
      </w:tr>
      <w:tr w:rsidR="004A55D9" w:rsidRPr="00102605" w14:paraId="7249995D" w14:textId="77777777" w:rsidTr="00AE798F">
        <w:trPr>
          <w:trHeight w:val="163"/>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A9BF"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PT current patronage per annum</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800BAB5" w14:textId="77777777" w:rsidR="004A55D9" w:rsidRPr="00102605" w:rsidRDefault="004A55D9" w:rsidP="00D81ADD">
            <w:pPr>
              <w:spacing w:after="0" w:line="240" w:lineRule="auto"/>
              <w:jc w:val="left"/>
              <w:rPr>
                <w:rFonts w:eastAsia="Times New Roman"/>
                <w:color w:val="000000"/>
                <w:sz w:val="18"/>
                <w:szCs w:val="18"/>
                <w:lang w:eastAsia="de-DE"/>
              </w:rPr>
            </w:pP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4F07B18B"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198,000,000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7533066C"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243,821,376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418A50C6"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passengers</w:t>
            </w:r>
          </w:p>
        </w:tc>
      </w:tr>
      <w:tr w:rsidR="004A55D9" w:rsidRPr="00102605" w14:paraId="0B316EA4" w14:textId="77777777" w:rsidTr="00AE798F">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0C8D7209"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GHG impact per annum of PT measures</w:t>
            </w:r>
          </w:p>
        </w:tc>
        <w:tc>
          <w:tcPr>
            <w:tcW w:w="1414" w:type="dxa"/>
            <w:tcBorders>
              <w:top w:val="nil"/>
              <w:left w:val="nil"/>
              <w:bottom w:val="single" w:sz="4" w:space="0" w:color="auto"/>
              <w:right w:val="single" w:sz="4" w:space="0" w:color="auto"/>
            </w:tcBorders>
            <w:shd w:val="clear" w:color="auto" w:fill="auto"/>
            <w:noWrap/>
            <w:vAlign w:val="bottom"/>
          </w:tcPr>
          <w:p w14:paraId="295C7074" w14:textId="77777777" w:rsidR="004A55D9" w:rsidRPr="00102605" w:rsidRDefault="004A55D9" w:rsidP="00D81ADD">
            <w:pPr>
              <w:spacing w:after="0" w:line="240" w:lineRule="auto"/>
              <w:jc w:val="left"/>
              <w:rPr>
                <w:rFonts w:eastAsia="Times New Roman"/>
                <w:color w:val="000000"/>
                <w:sz w:val="18"/>
                <w:szCs w:val="18"/>
                <w:lang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5A52D9EC"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63,325 </w:t>
            </w:r>
          </w:p>
        </w:tc>
        <w:tc>
          <w:tcPr>
            <w:tcW w:w="1668" w:type="dxa"/>
            <w:tcBorders>
              <w:top w:val="nil"/>
              <w:left w:val="nil"/>
              <w:bottom w:val="single" w:sz="4" w:space="0" w:color="auto"/>
              <w:right w:val="single" w:sz="4" w:space="0" w:color="auto"/>
            </w:tcBorders>
            <w:shd w:val="clear" w:color="auto" w:fill="auto"/>
            <w:noWrap/>
            <w:vAlign w:val="bottom"/>
            <w:hideMark/>
          </w:tcPr>
          <w:p w14:paraId="377F0D06"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36,304 </w:t>
            </w:r>
          </w:p>
        </w:tc>
        <w:tc>
          <w:tcPr>
            <w:tcW w:w="1126" w:type="dxa"/>
            <w:tcBorders>
              <w:top w:val="nil"/>
              <w:left w:val="nil"/>
              <w:bottom w:val="single" w:sz="4" w:space="0" w:color="auto"/>
              <w:right w:val="single" w:sz="4" w:space="0" w:color="auto"/>
            </w:tcBorders>
            <w:shd w:val="clear" w:color="auto" w:fill="auto"/>
            <w:noWrap/>
            <w:vAlign w:val="bottom"/>
            <w:hideMark/>
          </w:tcPr>
          <w:p w14:paraId="2023744D"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tCO2</w:t>
            </w:r>
          </w:p>
        </w:tc>
      </w:tr>
      <w:tr w:rsidR="004A55D9" w:rsidRPr="00102605" w14:paraId="04471419" w14:textId="77777777" w:rsidTr="00D81ADD">
        <w:trPr>
          <w:trHeight w:val="27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026E33B1"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GHG impact cumulative PT measures</w:t>
            </w:r>
          </w:p>
        </w:tc>
        <w:tc>
          <w:tcPr>
            <w:tcW w:w="1414" w:type="dxa"/>
            <w:tcBorders>
              <w:top w:val="nil"/>
              <w:left w:val="nil"/>
              <w:bottom w:val="single" w:sz="4" w:space="0" w:color="auto"/>
              <w:right w:val="single" w:sz="4" w:space="0" w:color="auto"/>
            </w:tcBorders>
            <w:shd w:val="clear" w:color="auto" w:fill="auto"/>
            <w:noWrap/>
            <w:vAlign w:val="bottom"/>
          </w:tcPr>
          <w:p w14:paraId="58C1C3EC" w14:textId="77777777" w:rsidR="004A55D9" w:rsidRPr="00102605" w:rsidRDefault="004A55D9" w:rsidP="00D81ADD">
            <w:pPr>
              <w:spacing w:after="0" w:line="240" w:lineRule="auto"/>
              <w:jc w:val="left"/>
              <w:rPr>
                <w:rFonts w:eastAsia="Times New Roman"/>
                <w:color w:val="000000"/>
                <w:sz w:val="18"/>
                <w:szCs w:val="18"/>
                <w:lang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1C861E8A"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1,583,116 </w:t>
            </w:r>
          </w:p>
        </w:tc>
        <w:tc>
          <w:tcPr>
            <w:tcW w:w="1668" w:type="dxa"/>
            <w:tcBorders>
              <w:top w:val="nil"/>
              <w:left w:val="nil"/>
              <w:bottom w:val="single" w:sz="4" w:space="0" w:color="auto"/>
              <w:right w:val="single" w:sz="4" w:space="0" w:color="auto"/>
            </w:tcBorders>
            <w:shd w:val="clear" w:color="auto" w:fill="auto"/>
            <w:noWrap/>
            <w:vAlign w:val="bottom"/>
            <w:hideMark/>
          </w:tcPr>
          <w:p w14:paraId="604E4A87"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907,597 </w:t>
            </w:r>
          </w:p>
        </w:tc>
        <w:tc>
          <w:tcPr>
            <w:tcW w:w="1126" w:type="dxa"/>
            <w:tcBorders>
              <w:top w:val="nil"/>
              <w:left w:val="nil"/>
              <w:bottom w:val="single" w:sz="4" w:space="0" w:color="auto"/>
              <w:right w:val="single" w:sz="4" w:space="0" w:color="auto"/>
            </w:tcBorders>
            <w:shd w:val="clear" w:color="auto" w:fill="auto"/>
            <w:noWrap/>
            <w:vAlign w:val="bottom"/>
            <w:hideMark/>
          </w:tcPr>
          <w:p w14:paraId="368E184D"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tCO2</w:t>
            </w:r>
          </w:p>
        </w:tc>
      </w:tr>
      <w:tr w:rsidR="004A55D9" w:rsidRPr="00102605" w14:paraId="0B146FBA" w14:textId="77777777" w:rsidTr="00D81ADD">
        <w:trPr>
          <w:trHeight w:val="165"/>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35DAB98E"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Energy savings per annum</w:t>
            </w:r>
          </w:p>
        </w:tc>
        <w:tc>
          <w:tcPr>
            <w:tcW w:w="1414" w:type="dxa"/>
            <w:tcBorders>
              <w:top w:val="nil"/>
              <w:left w:val="nil"/>
              <w:bottom w:val="single" w:sz="4" w:space="0" w:color="auto"/>
              <w:right w:val="single" w:sz="4" w:space="0" w:color="auto"/>
            </w:tcBorders>
            <w:shd w:val="clear" w:color="auto" w:fill="auto"/>
            <w:noWrap/>
            <w:vAlign w:val="bottom"/>
          </w:tcPr>
          <w:p w14:paraId="230D5873" w14:textId="77777777" w:rsidR="004A55D9" w:rsidRPr="00102605" w:rsidRDefault="004A55D9" w:rsidP="00D81ADD">
            <w:pPr>
              <w:spacing w:after="0" w:line="240" w:lineRule="auto"/>
              <w:jc w:val="left"/>
              <w:rPr>
                <w:rFonts w:eastAsia="Times New Roman"/>
                <w:color w:val="000000"/>
                <w:sz w:val="18"/>
                <w:szCs w:val="18"/>
                <w:lang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520701C7"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547 </w:t>
            </w:r>
          </w:p>
        </w:tc>
        <w:tc>
          <w:tcPr>
            <w:tcW w:w="1668" w:type="dxa"/>
            <w:tcBorders>
              <w:top w:val="nil"/>
              <w:left w:val="nil"/>
              <w:bottom w:val="single" w:sz="4" w:space="0" w:color="auto"/>
              <w:right w:val="single" w:sz="4" w:space="0" w:color="auto"/>
            </w:tcBorders>
            <w:shd w:val="clear" w:color="auto" w:fill="auto"/>
            <w:noWrap/>
            <w:vAlign w:val="bottom"/>
            <w:hideMark/>
          </w:tcPr>
          <w:p w14:paraId="71DC0C80"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287 </w:t>
            </w:r>
          </w:p>
        </w:tc>
        <w:tc>
          <w:tcPr>
            <w:tcW w:w="1126" w:type="dxa"/>
            <w:tcBorders>
              <w:top w:val="nil"/>
              <w:left w:val="nil"/>
              <w:bottom w:val="single" w:sz="4" w:space="0" w:color="auto"/>
              <w:right w:val="single" w:sz="4" w:space="0" w:color="auto"/>
            </w:tcBorders>
            <w:shd w:val="clear" w:color="auto" w:fill="auto"/>
            <w:noWrap/>
            <w:vAlign w:val="bottom"/>
            <w:hideMark/>
          </w:tcPr>
          <w:p w14:paraId="21D88935"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TJ</w:t>
            </w:r>
          </w:p>
        </w:tc>
      </w:tr>
      <w:tr w:rsidR="004A55D9" w:rsidRPr="00102605" w14:paraId="3F5F37BC" w14:textId="77777777" w:rsidTr="00AE798F">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2A0EF243"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Energy savings cumulative</w:t>
            </w:r>
          </w:p>
        </w:tc>
        <w:tc>
          <w:tcPr>
            <w:tcW w:w="1414" w:type="dxa"/>
            <w:tcBorders>
              <w:top w:val="nil"/>
              <w:left w:val="nil"/>
              <w:bottom w:val="single" w:sz="4" w:space="0" w:color="auto"/>
              <w:right w:val="single" w:sz="4" w:space="0" w:color="auto"/>
            </w:tcBorders>
            <w:shd w:val="clear" w:color="auto" w:fill="auto"/>
            <w:noWrap/>
            <w:vAlign w:val="bottom"/>
          </w:tcPr>
          <w:p w14:paraId="1A70B6F4" w14:textId="77777777" w:rsidR="004A55D9" w:rsidRPr="00102605" w:rsidRDefault="004A55D9" w:rsidP="00D81ADD">
            <w:pPr>
              <w:spacing w:after="0" w:line="240" w:lineRule="auto"/>
              <w:jc w:val="left"/>
              <w:rPr>
                <w:rFonts w:eastAsia="Times New Roman"/>
                <w:color w:val="000000"/>
                <w:sz w:val="18"/>
                <w:szCs w:val="18"/>
                <w:lang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71277479"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13,671 </w:t>
            </w:r>
          </w:p>
        </w:tc>
        <w:tc>
          <w:tcPr>
            <w:tcW w:w="1668" w:type="dxa"/>
            <w:tcBorders>
              <w:top w:val="nil"/>
              <w:left w:val="nil"/>
              <w:bottom w:val="single" w:sz="4" w:space="0" w:color="auto"/>
              <w:right w:val="single" w:sz="4" w:space="0" w:color="auto"/>
            </w:tcBorders>
            <w:shd w:val="clear" w:color="auto" w:fill="auto"/>
            <w:noWrap/>
            <w:vAlign w:val="bottom"/>
            <w:hideMark/>
          </w:tcPr>
          <w:p w14:paraId="11AC2AE3"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 xml:space="preserve">                     7,184 </w:t>
            </w:r>
          </w:p>
        </w:tc>
        <w:tc>
          <w:tcPr>
            <w:tcW w:w="1126" w:type="dxa"/>
            <w:tcBorders>
              <w:top w:val="nil"/>
              <w:left w:val="nil"/>
              <w:bottom w:val="single" w:sz="4" w:space="0" w:color="auto"/>
              <w:right w:val="single" w:sz="4" w:space="0" w:color="auto"/>
            </w:tcBorders>
            <w:shd w:val="clear" w:color="auto" w:fill="auto"/>
            <w:noWrap/>
            <w:vAlign w:val="bottom"/>
            <w:hideMark/>
          </w:tcPr>
          <w:p w14:paraId="14F613B8"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TJ</w:t>
            </w:r>
          </w:p>
        </w:tc>
      </w:tr>
      <w:tr w:rsidR="004A55D9" w:rsidRPr="00102605" w14:paraId="4359F7F7" w14:textId="77777777" w:rsidTr="00AE798F">
        <w:trPr>
          <w:trHeight w:val="163"/>
        </w:trPr>
        <w:tc>
          <w:tcPr>
            <w:tcW w:w="3688" w:type="dxa"/>
            <w:tcBorders>
              <w:top w:val="nil"/>
              <w:left w:val="nil"/>
              <w:bottom w:val="nil"/>
              <w:right w:val="nil"/>
            </w:tcBorders>
            <w:shd w:val="clear" w:color="auto" w:fill="auto"/>
            <w:noWrap/>
            <w:vAlign w:val="bottom"/>
            <w:hideMark/>
          </w:tcPr>
          <w:p w14:paraId="54CAEB39" w14:textId="77777777" w:rsidR="004A55D9" w:rsidRPr="00102605" w:rsidRDefault="004A55D9" w:rsidP="00A0575B">
            <w:pPr>
              <w:spacing w:after="0" w:line="240" w:lineRule="auto"/>
              <w:jc w:val="left"/>
              <w:rPr>
                <w:rFonts w:eastAsia="Times New Roman"/>
                <w:b/>
                <w:bCs/>
                <w:color w:val="000000"/>
                <w:sz w:val="18"/>
                <w:szCs w:val="18"/>
                <w:lang w:eastAsia="de-DE"/>
              </w:rPr>
            </w:pPr>
            <w:r w:rsidRPr="00102605">
              <w:rPr>
                <w:rFonts w:eastAsia="Times New Roman"/>
                <w:b/>
                <w:bCs/>
                <w:color w:val="000000"/>
                <w:sz w:val="18"/>
                <w:szCs w:val="18"/>
                <w:lang w:eastAsia="de-DE"/>
              </w:rPr>
              <w:t>Total programme</w:t>
            </w:r>
          </w:p>
        </w:tc>
        <w:tc>
          <w:tcPr>
            <w:tcW w:w="1414" w:type="dxa"/>
            <w:tcBorders>
              <w:top w:val="nil"/>
              <w:left w:val="nil"/>
              <w:bottom w:val="nil"/>
              <w:right w:val="nil"/>
            </w:tcBorders>
            <w:shd w:val="clear" w:color="auto" w:fill="auto"/>
            <w:noWrap/>
            <w:vAlign w:val="bottom"/>
          </w:tcPr>
          <w:p w14:paraId="07AEDB4D" w14:textId="77777777" w:rsidR="004A55D9" w:rsidRPr="00102605" w:rsidRDefault="004A55D9" w:rsidP="00BE745A">
            <w:pPr>
              <w:jc w:val="left"/>
              <w:rPr>
                <w:rFonts w:eastAsia="Times New Roman"/>
                <w:b/>
                <w:bCs/>
                <w:color w:val="000000"/>
                <w:sz w:val="18"/>
                <w:szCs w:val="18"/>
                <w:lang w:eastAsia="de-DE"/>
              </w:rPr>
            </w:pPr>
          </w:p>
        </w:tc>
        <w:tc>
          <w:tcPr>
            <w:tcW w:w="1363" w:type="dxa"/>
            <w:tcBorders>
              <w:top w:val="nil"/>
              <w:left w:val="nil"/>
              <w:bottom w:val="nil"/>
              <w:right w:val="nil"/>
            </w:tcBorders>
            <w:shd w:val="clear" w:color="auto" w:fill="auto"/>
            <w:noWrap/>
            <w:vAlign w:val="bottom"/>
            <w:hideMark/>
          </w:tcPr>
          <w:p w14:paraId="5A1FDA89" w14:textId="77777777" w:rsidR="004A55D9" w:rsidRPr="00102605" w:rsidRDefault="004A55D9" w:rsidP="00BE745A">
            <w:pPr>
              <w:jc w:val="left"/>
              <w:rPr>
                <w:rFonts w:eastAsia="Times New Roman"/>
                <w:sz w:val="18"/>
                <w:szCs w:val="18"/>
                <w:lang w:eastAsia="de-DE"/>
              </w:rPr>
            </w:pPr>
          </w:p>
        </w:tc>
        <w:tc>
          <w:tcPr>
            <w:tcW w:w="1668" w:type="dxa"/>
            <w:tcBorders>
              <w:top w:val="nil"/>
              <w:left w:val="nil"/>
              <w:bottom w:val="nil"/>
              <w:right w:val="nil"/>
            </w:tcBorders>
            <w:shd w:val="clear" w:color="auto" w:fill="auto"/>
            <w:noWrap/>
            <w:vAlign w:val="bottom"/>
            <w:hideMark/>
          </w:tcPr>
          <w:p w14:paraId="130F9124" w14:textId="77777777" w:rsidR="004A55D9" w:rsidRPr="00102605" w:rsidRDefault="004A55D9" w:rsidP="00BE745A">
            <w:pPr>
              <w:jc w:val="left"/>
              <w:rPr>
                <w:rFonts w:eastAsia="Times New Roman"/>
                <w:sz w:val="18"/>
                <w:szCs w:val="18"/>
                <w:lang w:eastAsia="de-DE"/>
              </w:rPr>
            </w:pPr>
          </w:p>
        </w:tc>
        <w:tc>
          <w:tcPr>
            <w:tcW w:w="1126" w:type="dxa"/>
            <w:tcBorders>
              <w:top w:val="nil"/>
              <w:left w:val="nil"/>
              <w:bottom w:val="nil"/>
              <w:right w:val="nil"/>
            </w:tcBorders>
            <w:shd w:val="clear" w:color="auto" w:fill="auto"/>
            <w:noWrap/>
            <w:vAlign w:val="bottom"/>
            <w:hideMark/>
          </w:tcPr>
          <w:p w14:paraId="573FBD9C" w14:textId="77777777" w:rsidR="004A55D9" w:rsidRPr="00102605" w:rsidRDefault="004A55D9" w:rsidP="00BE745A">
            <w:pPr>
              <w:jc w:val="left"/>
              <w:rPr>
                <w:rFonts w:eastAsia="Times New Roman"/>
                <w:sz w:val="18"/>
                <w:szCs w:val="18"/>
                <w:lang w:eastAsia="de-DE"/>
              </w:rPr>
            </w:pPr>
          </w:p>
        </w:tc>
      </w:tr>
      <w:tr w:rsidR="004A55D9" w:rsidRPr="00102605" w14:paraId="1583A481" w14:textId="77777777" w:rsidTr="00AE798F">
        <w:trPr>
          <w:trHeight w:val="163"/>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AA6F4"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GHG impact per annum of PT measures</w:t>
            </w:r>
          </w:p>
        </w:tc>
        <w:tc>
          <w:tcPr>
            <w:tcW w:w="1414" w:type="dxa"/>
            <w:tcBorders>
              <w:top w:val="single" w:sz="4" w:space="0" w:color="auto"/>
              <w:left w:val="nil"/>
              <w:bottom w:val="single" w:sz="4" w:space="0" w:color="auto"/>
              <w:right w:val="single" w:sz="4" w:space="0" w:color="auto"/>
            </w:tcBorders>
            <w:shd w:val="clear" w:color="auto" w:fill="auto"/>
            <w:noWrap/>
            <w:hideMark/>
          </w:tcPr>
          <w:p w14:paraId="7B33D1E1" w14:textId="77777777" w:rsidR="004A55D9" w:rsidRPr="00102605" w:rsidRDefault="004A55D9" w:rsidP="00D81ADD">
            <w:pPr>
              <w:spacing w:after="0" w:line="240" w:lineRule="auto"/>
              <w:jc w:val="right"/>
              <w:rPr>
                <w:rFonts w:eastAsia="Times New Roman"/>
                <w:color w:val="000000"/>
                <w:sz w:val="18"/>
                <w:szCs w:val="18"/>
                <w:lang w:eastAsia="de-DE"/>
              </w:rPr>
            </w:pPr>
            <w:r w:rsidRPr="00102605">
              <w:rPr>
                <w:rFonts w:eastAsia="Times New Roman"/>
                <w:color w:val="000000"/>
                <w:sz w:val="18"/>
                <w:szCs w:val="18"/>
                <w:lang w:eastAsia="de-DE"/>
              </w:rPr>
              <w:t xml:space="preserve"> 99,600 </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E078CAB"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tCO2</w:t>
            </w:r>
          </w:p>
        </w:tc>
        <w:tc>
          <w:tcPr>
            <w:tcW w:w="1668" w:type="dxa"/>
            <w:tcBorders>
              <w:top w:val="nil"/>
              <w:left w:val="nil"/>
              <w:bottom w:val="nil"/>
              <w:right w:val="nil"/>
            </w:tcBorders>
            <w:shd w:val="clear" w:color="auto" w:fill="auto"/>
            <w:noWrap/>
            <w:vAlign w:val="bottom"/>
            <w:hideMark/>
          </w:tcPr>
          <w:p w14:paraId="52AC2D33" w14:textId="77777777" w:rsidR="004A55D9" w:rsidRPr="00102605" w:rsidRDefault="004A55D9" w:rsidP="00BE745A">
            <w:pPr>
              <w:jc w:val="left"/>
              <w:rPr>
                <w:rFonts w:eastAsia="Times New Roman"/>
                <w:color w:val="000000"/>
                <w:sz w:val="18"/>
                <w:szCs w:val="18"/>
                <w:lang w:eastAsia="de-DE"/>
              </w:rPr>
            </w:pPr>
          </w:p>
        </w:tc>
        <w:tc>
          <w:tcPr>
            <w:tcW w:w="1126" w:type="dxa"/>
            <w:tcBorders>
              <w:top w:val="nil"/>
              <w:left w:val="nil"/>
              <w:bottom w:val="nil"/>
              <w:right w:val="nil"/>
            </w:tcBorders>
            <w:shd w:val="clear" w:color="auto" w:fill="auto"/>
            <w:noWrap/>
            <w:vAlign w:val="bottom"/>
            <w:hideMark/>
          </w:tcPr>
          <w:p w14:paraId="324ED665" w14:textId="77777777" w:rsidR="004A55D9" w:rsidRPr="00102605" w:rsidRDefault="004A55D9" w:rsidP="00BE745A">
            <w:pPr>
              <w:jc w:val="left"/>
              <w:rPr>
                <w:rFonts w:eastAsia="Times New Roman"/>
                <w:sz w:val="18"/>
                <w:szCs w:val="18"/>
                <w:lang w:eastAsia="de-DE"/>
              </w:rPr>
            </w:pPr>
          </w:p>
        </w:tc>
      </w:tr>
      <w:tr w:rsidR="004A55D9" w:rsidRPr="00102605" w14:paraId="3F642210" w14:textId="77777777" w:rsidTr="00AE798F">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764AAB19"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GHG impact cumulative PT measures</w:t>
            </w:r>
          </w:p>
        </w:tc>
        <w:tc>
          <w:tcPr>
            <w:tcW w:w="1414" w:type="dxa"/>
            <w:tcBorders>
              <w:top w:val="nil"/>
              <w:left w:val="nil"/>
              <w:bottom w:val="single" w:sz="4" w:space="0" w:color="auto"/>
              <w:right w:val="single" w:sz="4" w:space="0" w:color="auto"/>
            </w:tcBorders>
            <w:shd w:val="clear" w:color="auto" w:fill="auto"/>
            <w:noWrap/>
            <w:hideMark/>
          </w:tcPr>
          <w:p w14:paraId="2992CDCD" w14:textId="77777777" w:rsidR="004A55D9" w:rsidRPr="00102605" w:rsidRDefault="004A55D9" w:rsidP="00D81ADD">
            <w:pPr>
              <w:spacing w:after="0" w:line="240" w:lineRule="auto"/>
              <w:jc w:val="right"/>
              <w:rPr>
                <w:rFonts w:eastAsia="Times New Roman"/>
                <w:color w:val="000000"/>
                <w:sz w:val="18"/>
                <w:szCs w:val="18"/>
                <w:lang w:eastAsia="de-DE"/>
              </w:rPr>
            </w:pPr>
            <w:r w:rsidRPr="00102605">
              <w:rPr>
                <w:rFonts w:eastAsia="Times New Roman"/>
                <w:color w:val="000000"/>
                <w:sz w:val="18"/>
                <w:szCs w:val="18"/>
                <w:lang w:eastAsia="de-DE"/>
              </w:rPr>
              <w:t xml:space="preserve"> 2,490,700 </w:t>
            </w:r>
          </w:p>
        </w:tc>
        <w:tc>
          <w:tcPr>
            <w:tcW w:w="1363" w:type="dxa"/>
            <w:tcBorders>
              <w:top w:val="nil"/>
              <w:left w:val="nil"/>
              <w:bottom w:val="single" w:sz="4" w:space="0" w:color="auto"/>
              <w:right w:val="single" w:sz="4" w:space="0" w:color="auto"/>
            </w:tcBorders>
            <w:shd w:val="clear" w:color="auto" w:fill="auto"/>
            <w:noWrap/>
            <w:vAlign w:val="bottom"/>
            <w:hideMark/>
          </w:tcPr>
          <w:p w14:paraId="7FEE04B7" w14:textId="77777777" w:rsidR="004A55D9" w:rsidRPr="00102605" w:rsidRDefault="004A55D9" w:rsidP="00D81ADD">
            <w:pPr>
              <w:spacing w:after="0" w:line="240" w:lineRule="auto"/>
              <w:jc w:val="left"/>
              <w:rPr>
                <w:rFonts w:eastAsia="Times New Roman"/>
                <w:color w:val="000000"/>
                <w:sz w:val="18"/>
                <w:szCs w:val="18"/>
                <w:lang w:eastAsia="de-DE"/>
              </w:rPr>
            </w:pPr>
            <w:r w:rsidRPr="00102605">
              <w:rPr>
                <w:rFonts w:eastAsia="Times New Roman"/>
                <w:color w:val="000000"/>
                <w:sz w:val="18"/>
                <w:szCs w:val="18"/>
                <w:lang w:eastAsia="de-DE"/>
              </w:rPr>
              <w:t>tCO2</w:t>
            </w:r>
          </w:p>
        </w:tc>
        <w:tc>
          <w:tcPr>
            <w:tcW w:w="1668" w:type="dxa"/>
            <w:tcBorders>
              <w:top w:val="nil"/>
              <w:left w:val="nil"/>
              <w:bottom w:val="nil"/>
              <w:right w:val="nil"/>
            </w:tcBorders>
            <w:shd w:val="clear" w:color="auto" w:fill="auto"/>
            <w:noWrap/>
            <w:vAlign w:val="bottom"/>
            <w:hideMark/>
          </w:tcPr>
          <w:p w14:paraId="6937D91D" w14:textId="77777777" w:rsidR="004A55D9" w:rsidRPr="00102605" w:rsidRDefault="004A55D9" w:rsidP="00BE745A">
            <w:pPr>
              <w:jc w:val="left"/>
              <w:rPr>
                <w:rFonts w:eastAsia="Times New Roman"/>
                <w:color w:val="000000"/>
                <w:sz w:val="18"/>
                <w:szCs w:val="18"/>
                <w:lang w:eastAsia="de-DE"/>
              </w:rPr>
            </w:pPr>
          </w:p>
        </w:tc>
        <w:tc>
          <w:tcPr>
            <w:tcW w:w="1126" w:type="dxa"/>
            <w:tcBorders>
              <w:top w:val="nil"/>
              <w:left w:val="nil"/>
              <w:bottom w:val="nil"/>
              <w:right w:val="nil"/>
            </w:tcBorders>
            <w:shd w:val="clear" w:color="auto" w:fill="auto"/>
            <w:noWrap/>
            <w:vAlign w:val="bottom"/>
            <w:hideMark/>
          </w:tcPr>
          <w:p w14:paraId="1E911876" w14:textId="77777777" w:rsidR="004A55D9" w:rsidRPr="00102605" w:rsidRDefault="004A55D9" w:rsidP="00BE745A">
            <w:pPr>
              <w:jc w:val="left"/>
              <w:rPr>
                <w:rFonts w:eastAsia="Times New Roman"/>
                <w:sz w:val="18"/>
                <w:szCs w:val="18"/>
                <w:lang w:eastAsia="de-DE"/>
              </w:rPr>
            </w:pPr>
          </w:p>
        </w:tc>
      </w:tr>
    </w:tbl>
    <w:p w14:paraId="441E8BA3" w14:textId="77777777" w:rsidR="00224E22" w:rsidRPr="00D07B6F" w:rsidRDefault="00224E22" w:rsidP="00406472">
      <w:pPr>
        <w:spacing w:after="0" w:line="240" w:lineRule="auto"/>
        <w:jc w:val="center"/>
        <w:rPr>
          <w:sz w:val="20"/>
          <w:szCs w:val="20"/>
          <w:lang w:eastAsia="es-ES"/>
        </w:rPr>
      </w:pPr>
      <w:r w:rsidRPr="00D07B6F">
        <w:rPr>
          <w:sz w:val="18"/>
          <w:szCs w:val="18"/>
          <w:lang w:eastAsia="es-ES"/>
        </w:rPr>
        <w:t xml:space="preserve">Source: Calculation based on Khan, 2021 and </w:t>
      </w:r>
      <w:proofErr w:type="spellStart"/>
      <w:r w:rsidRPr="00D07B6F">
        <w:rPr>
          <w:sz w:val="18"/>
          <w:szCs w:val="18"/>
          <w:lang w:eastAsia="es-ES"/>
        </w:rPr>
        <w:t>booz&amp;co</w:t>
      </w:r>
      <w:proofErr w:type="spellEnd"/>
      <w:r w:rsidRPr="00D07B6F">
        <w:rPr>
          <w:sz w:val="18"/>
          <w:szCs w:val="18"/>
          <w:lang w:eastAsia="es-ES"/>
        </w:rPr>
        <w:t xml:space="preserve">, 2009, </w:t>
      </w:r>
      <w:proofErr w:type="spellStart"/>
      <w:r w:rsidRPr="00D07B6F">
        <w:rPr>
          <w:sz w:val="18"/>
          <w:szCs w:val="18"/>
          <w:lang w:eastAsia="es-ES"/>
        </w:rPr>
        <w:t>Hinicio</w:t>
      </w:r>
      <w:proofErr w:type="spellEnd"/>
      <w:r w:rsidRPr="00D07B6F">
        <w:rPr>
          <w:sz w:val="18"/>
          <w:szCs w:val="18"/>
          <w:lang w:eastAsia="es-ES"/>
        </w:rPr>
        <w:t>, baseline model, 2021, Feasibility Study Task 3, See Excel Sheet tgw_ER_FP_v1.4_2022-06-07 with all sources.</w:t>
      </w:r>
    </w:p>
    <w:p w14:paraId="2ECBBB8A" w14:textId="77777777" w:rsidR="003A0FE4" w:rsidRPr="00102605" w:rsidRDefault="003A0FE4" w:rsidP="00406472">
      <w:pPr>
        <w:spacing w:after="0" w:line="240" w:lineRule="auto"/>
      </w:pPr>
    </w:p>
    <w:p w14:paraId="6A5F9FC9" w14:textId="58BD7921" w:rsidR="004E4C8E" w:rsidRDefault="00992953" w:rsidP="00406472">
      <w:pPr>
        <w:spacing w:after="0" w:line="240" w:lineRule="auto"/>
        <w:rPr>
          <w:iCs/>
          <w:color w:val="000000" w:themeColor="text1"/>
          <w:lang w:eastAsia="ja-JP"/>
        </w:rPr>
      </w:pPr>
      <w:r w:rsidRPr="00102605">
        <w:t>Major environmental co-benefits are reduced emissions of pollutants and reduced noise emissions. The major concern for air pollution in the cities is PM2.5 and NO</w:t>
      </w:r>
      <w:r w:rsidRPr="00102605">
        <w:rPr>
          <w:vertAlign w:val="subscript"/>
        </w:rPr>
        <w:t>x</w:t>
      </w:r>
      <w:r w:rsidRPr="00102605">
        <w:t xml:space="preserve"> emissions. The projected reduction of pollutants of the </w:t>
      </w:r>
      <w:r w:rsidR="00F84CBB" w:rsidRPr="00102605">
        <w:t>Sub-Program 2</w:t>
      </w:r>
      <w:r w:rsidRPr="00102605">
        <w:t xml:space="preserve"> in Panama, Paraguay and Uruguay is 80 tPM</w:t>
      </w:r>
      <w:r w:rsidRPr="00102605">
        <w:rPr>
          <w:vertAlign w:val="subscript"/>
        </w:rPr>
        <w:t>2.5</w:t>
      </w:r>
      <w:r w:rsidRPr="00102605">
        <w:t xml:space="preserve"> and 4,080 </w:t>
      </w:r>
      <w:proofErr w:type="spellStart"/>
      <w:r w:rsidRPr="00102605">
        <w:t>tNO</w:t>
      </w:r>
      <w:r w:rsidRPr="00102605">
        <w:rPr>
          <w:vertAlign w:val="subscript"/>
        </w:rPr>
        <w:t>x</w:t>
      </w:r>
      <w:proofErr w:type="spellEnd"/>
      <w:r w:rsidR="004E4C8E" w:rsidRPr="00102605">
        <w:rPr>
          <w:iCs/>
          <w:color w:val="000000" w:themeColor="text1"/>
          <w:lang w:eastAsia="ja-JP"/>
        </w:rPr>
        <w:t xml:space="preserve"> (see </w:t>
      </w:r>
      <w:r w:rsidR="00D97D5A" w:rsidRPr="00102605">
        <w:rPr>
          <w:iCs/>
          <w:color w:val="000000" w:themeColor="text1"/>
          <w:lang w:eastAsia="ja-JP"/>
        </w:rPr>
        <w:fldChar w:fldCharType="begin"/>
      </w:r>
      <w:r w:rsidR="00D97D5A" w:rsidRPr="00102605">
        <w:rPr>
          <w:iCs/>
          <w:color w:val="000000" w:themeColor="text1"/>
          <w:lang w:eastAsia="ja-JP"/>
        </w:rPr>
        <w:instrText xml:space="preserve"> REF _Ref69314672 \h </w:instrText>
      </w:r>
      <w:r w:rsidR="00A3742D" w:rsidRPr="00102605">
        <w:rPr>
          <w:iCs/>
          <w:color w:val="000000" w:themeColor="text1"/>
          <w:lang w:eastAsia="ja-JP"/>
        </w:rPr>
        <w:instrText xml:space="preserve"> \* MERGEFORMAT </w:instrText>
      </w:r>
      <w:r w:rsidR="00D97D5A" w:rsidRPr="00102605">
        <w:rPr>
          <w:iCs/>
          <w:color w:val="000000" w:themeColor="text1"/>
          <w:lang w:eastAsia="ja-JP"/>
        </w:rPr>
      </w:r>
      <w:r w:rsidR="00D97D5A" w:rsidRPr="00102605">
        <w:rPr>
          <w:iCs/>
          <w:color w:val="000000" w:themeColor="text1"/>
          <w:lang w:eastAsia="ja-JP"/>
        </w:rPr>
        <w:fldChar w:fldCharType="separate"/>
      </w:r>
      <w:r w:rsidR="00F53171" w:rsidRPr="00102605">
        <w:t xml:space="preserve">Table </w:t>
      </w:r>
      <w:r w:rsidR="00D97D5A" w:rsidRPr="00102605">
        <w:rPr>
          <w:iCs/>
          <w:color w:val="000000" w:themeColor="text1"/>
          <w:lang w:eastAsia="ja-JP"/>
        </w:rPr>
        <w:fldChar w:fldCharType="end"/>
      </w:r>
      <w:r w:rsidR="003E1958">
        <w:rPr>
          <w:iCs/>
          <w:color w:val="000000" w:themeColor="text1"/>
          <w:lang w:eastAsia="ja-JP"/>
        </w:rPr>
        <w:t>7</w:t>
      </w:r>
      <w:r w:rsidR="004E4C8E" w:rsidRPr="00102605">
        <w:rPr>
          <w:iCs/>
          <w:color w:val="000000" w:themeColor="text1"/>
          <w:lang w:eastAsia="ja-JP"/>
        </w:rPr>
        <w:t xml:space="preserve"> and</w:t>
      </w:r>
      <w:r w:rsidR="00E32DF5">
        <w:rPr>
          <w:iCs/>
          <w:color w:val="000000" w:themeColor="text1"/>
          <w:lang w:eastAsia="ja-JP"/>
        </w:rPr>
        <w:t xml:space="preserve"> 8</w:t>
      </w:r>
      <w:r w:rsidR="00D97D5A" w:rsidRPr="00102605">
        <w:rPr>
          <w:iCs/>
          <w:color w:val="000000" w:themeColor="text1"/>
          <w:lang w:eastAsia="ja-JP"/>
        </w:rPr>
        <w:fldChar w:fldCharType="begin"/>
      </w:r>
      <w:r w:rsidR="00D97D5A" w:rsidRPr="00102605">
        <w:rPr>
          <w:iCs/>
          <w:color w:val="000000" w:themeColor="text1"/>
          <w:lang w:eastAsia="ja-JP"/>
        </w:rPr>
        <w:instrText xml:space="preserve"> REF _Ref69314682 \h </w:instrText>
      </w:r>
      <w:r w:rsidR="00A3742D" w:rsidRPr="00102605">
        <w:rPr>
          <w:iCs/>
          <w:color w:val="000000" w:themeColor="text1"/>
          <w:lang w:eastAsia="ja-JP"/>
        </w:rPr>
        <w:instrText xml:space="preserve"> \* MERGEFORMAT </w:instrText>
      </w:r>
      <w:r w:rsidR="00D97D5A" w:rsidRPr="00102605">
        <w:rPr>
          <w:iCs/>
          <w:color w:val="000000" w:themeColor="text1"/>
          <w:lang w:eastAsia="ja-JP"/>
        </w:rPr>
      </w:r>
      <w:r w:rsidR="00D97D5A" w:rsidRPr="00102605">
        <w:rPr>
          <w:iCs/>
          <w:color w:val="000000" w:themeColor="text1"/>
          <w:lang w:eastAsia="ja-JP"/>
        </w:rPr>
        <w:fldChar w:fldCharType="separate"/>
      </w:r>
      <w:r w:rsidR="00F53171" w:rsidRPr="00102605">
        <w:t xml:space="preserve">Table </w:t>
      </w:r>
      <w:r w:rsidR="00D97D5A" w:rsidRPr="00102605">
        <w:rPr>
          <w:iCs/>
          <w:color w:val="000000" w:themeColor="text1"/>
          <w:lang w:eastAsia="ja-JP"/>
        </w:rPr>
        <w:fldChar w:fldCharType="end"/>
      </w:r>
      <w:r w:rsidR="003E1958">
        <w:rPr>
          <w:iCs/>
          <w:color w:val="000000" w:themeColor="text1"/>
          <w:lang w:eastAsia="ja-JP"/>
        </w:rPr>
        <w:t>8</w:t>
      </w:r>
      <w:r w:rsidR="004E4C8E" w:rsidRPr="00102605">
        <w:rPr>
          <w:iCs/>
          <w:color w:val="000000" w:themeColor="text1"/>
          <w:lang w:eastAsia="ja-JP"/>
        </w:rPr>
        <w:t>)</w:t>
      </w:r>
      <w:r w:rsidRPr="00102605">
        <w:rPr>
          <w:iCs/>
          <w:color w:val="000000" w:themeColor="text1"/>
          <w:lang w:eastAsia="ja-JP"/>
        </w:rPr>
        <w:t>.</w:t>
      </w:r>
    </w:p>
    <w:p w14:paraId="0DCAB88E" w14:textId="77777777" w:rsidR="00711F16" w:rsidRDefault="00711F16" w:rsidP="00406472">
      <w:pPr>
        <w:spacing w:after="0" w:line="240" w:lineRule="auto"/>
        <w:rPr>
          <w:iCs/>
          <w:color w:val="000000" w:themeColor="text1"/>
          <w:lang w:eastAsia="ja-JP"/>
        </w:rPr>
      </w:pPr>
    </w:p>
    <w:p w14:paraId="7181CC44" w14:textId="77DCD5F2" w:rsidR="004E4C8E" w:rsidRPr="00102605" w:rsidRDefault="004E4C8E" w:rsidP="00AE798F">
      <w:pPr>
        <w:spacing w:after="0"/>
        <w:jc w:val="center"/>
      </w:pPr>
      <w:bookmarkStart w:id="24" w:name="_Ref69314672"/>
      <w:r w:rsidRPr="00102605">
        <w:t xml:space="preserve">Table </w:t>
      </w:r>
      <w:r>
        <w:fldChar w:fldCharType="begin"/>
      </w:r>
      <w:r>
        <w:instrText>SEQ Table \* ARABIC</w:instrText>
      </w:r>
      <w:r>
        <w:fldChar w:fldCharType="separate"/>
      </w:r>
      <w:r w:rsidR="00072B3C">
        <w:rPr>
          <w:noProof/>
        </w:rPr>
        <w:t>7</w:t>
      </w:r>
      <w:r>
        <w:fldChar w:fldCharType="end"/>
      </w:r>
      <w:bookmarkEnd w:id="24"/>
      <w:r w:rsidRPr="00102605">
        <w:t>: Projected Lifetime PM2.5 Pollutant Reductions (tons) per country</w:t>
      </w:r>
    </w:p>
    <w:tbl>
      <w:tblPr>
        <w:tblStyle w:val="PlainTable11"/>
        <w:tblW w:w="7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576"/>
        <w:gridCol w:w="1035"/>
        <w:gridCol w:w="1035"/>
        <w:gridCol w:w="1035"/>
        <w:gridCol w:w="1035"/>
        <w:gridCol w:w="1035"/>
      </w:tblGrid>
      <w:tr w:rsidR="00615D23" w:rsidRPr="00A0575B" w14:paraId="0D2CDFAB" w14:textId="77777777" w:rsidTr="00615D2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1B863C46" w14:textId="77777777" w:rsidR="00615D23" w:rsidRPr="00A0575B" w:rsidRDefault="00615D23" w:rsidP="00794753">
            <w:pPr>
              <w:jc w:val="center"/>
              <w:rPr>
                <w:rFonts w:cs="Arial"/>
                <w:color w:val="FFFFFF" w:themeColor="background1"/>
                <w:sz w:val="16"/>
                <w:szCs w:val="16"/>
                <w:lang w:val="en-GB" w:eastAsia="de-DE"/>
              </w:rPr>
            </w:pPr>
            <w:r w:rsidRPr="00A0575B">
              <w:rPr>
                <w:rFonts w:cs="Arial"/>
                <w:color w:val="FFFFFF" w:themeColor="background1"/>
                <w:sz w:val="16"/>
                <w:szCs w:val="16"/>
                <w:lang w:val="en-GB" w:eastAsia="de-DE"/>
              </w:rPr>
              <w:t>Country</w:t>
            </w:r>
          </w:p>
        </w:tc>
        <w:tc>
          <w:tcPr>
            <w:tcW w:w="1576" w:type="dxa"/>
            <w:shd w:val="clear" w:color="auto" w:fill="00B0F0"/>
            <w:noWrap/>
            <w:hideMark/>
          </w:tcPr>
          <w:p w14:paraId="07C30EBE" w14:textId="77777777" w:rsidR="00615D23" w:rsidRPr="00A0575B" w:rsidRDefault="00615D23"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Parameter</w:t>
            </w:r>
          </w:p>
        </w:tc>
        <w:tc>
          <w:tcPr>
            <w:tcW w:w="1035" w:type="dxa"/>
            <w:shd w:val="clear" w:color="auto" w:fill="00B0F0"/>
            <w:noWrap/>
            <w:hideMark/>
          </w:tcPr>
          <w:p w14:paraId="6119432C" w14:textId="77777777" w:rsidR="00615D23" w:rsidRPr="00A0575B" w:rsidRDefault="00615D23"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Unit</w:t>
            </w:r>
          </w:p>
        </w:tc>
        <w:tc>
          <w:tcPr>
            <w:tcW w:w="1035" w:type="dxa"/>
            <w:shd w:val="clear" w:color="auto" w:fill="00B0F0"/>
            <w:noWrap/>
            <w:hideMark/>
          </w:tcPr>
          <w:p w14:paraId="2132D903" w14:textId="77777777" w:rsidR="00615D23" w:rsidRPr="00A0575B" w:rsidRDefault="00615D23"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e-buses</w:t>
            </w:r>
          </w:p>
        </w:tc>
        <w:tc>
          <w:tcPr>
            <w:tcW w:w="2070" w:type="dxa"/>
            <w:gridSpan w:val="2"/>
            <w:shd w:val="clear" w:color="auto" w:fill="00B0F0"/>
            <w:noWrap/>
            <w:hideMark/>
          </w:tcPr>
          <w:p w14:paraId="64CE59EC" w14:textId="77777777" w:rsidR="00615D23" w:rsidRPr="00A0575B" w:rsidRDefault="00615D23"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e-LCVs</w:t>
            </w:r>
          </w:p>
        </w:tc>
        <w:tc>
          <w:tcPr>
            <w:tcW w:w="1035" w:type="dxa"/>
            <w:shd w:val="clear" w:color="auto" w:fill="00B0F0"/>
            <w:noWrap/>
            <w:hideMark/>
          </w:tcPr>
          <w:p w14:paraId="5B5CAB84" w14:textId="77777777" w:rsidR="00615D23" w:rsidRPr="00A0575B" w:rsidRDefault="00615D23"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Total</w:t>
            </w:r>
          </w:p>
        </w:tc>
      </w:tr>
      <w:tr w:rsidR="00615D23" w:rsidRPr="00A0575B" w14:paraId="2F8030D3" w14:textId="77777777" w:rsidTr="00615D23">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0D8D4824" w14:textId="77777777" w:rsidR="00615D23" w:rsidRPr="00A0575B" w:rsidRDefault="00615D23" w:rsidP="00794753">
            <w:pPr>
              <w:jc w:val="center"/>
              <w:rPr>
                <w:rFonts w:cs="Arial"/>
                <w:color w:val="FFFFFF" w:themeColor="background1"/>
                <w:sz w:val="16"/>
                <w:szCs w:val="16"/>
                <w:lang w:val="en-GB" w:eastAsia="de-DE"/>
              </w:rPr>
            </w:pPr>
          </w:p>
        </w:tc>
        <w:tc>
          <w:tcPr>
            <w:tcW w:w="1576" w:type="dxa"/>
            <w:shd w:val="clear" w:color="auto" w:fill="00B0F0"/>
            <w:noWrap/>
            <w:hideMark/>
          </w:tcPr>
          <w:p w14:paraId="00153638"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p>
        </w:tc>
        <w:tc>
          <w:tcPr>
            <w:tcW w:w="1035" w:type="dxa"/>
            <w:shd w:val="clear" w:color="auto" w:fill="00B0F0"/>
            <w:noWrap/>
            <w:hideMark/>
          </w:tcPr>
          <w:p w14:paraId="48CDAB1B"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p>
        </w:tc>
        <w:tc>
          <w:tcPr>
            <w:tcW w:w="1035" w:type="dxa"/>
            <w:shd w:val="clear" w:color="auto" w:fill="00B0F0"/>
            <w:noWrap/>
            <w:hideMark/>
          </w:tcPr>
          <w:p w14:paraId="1529FD75"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public</w:t>
            </w:r>
          </w:p>
        </w:tc>
        <w:tc>
          <w:tcPr>
            <w:tcW w:w="1035" w:type="dxa"/>
            <w:shd w:val="clear" w:color="auto" w:fill="00B0F0"/>
            <w:noWrap/>
            <w:hideMark/>
          </w:tcPr>
          <w:p w14:paraId="56BE342B"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public</w:t>
            </w:r>
          </w:p>
        </w:tc>
        <w:tc>
          <w:tcPr>
            <w:tcW w:w="1035" w:type="dxa"/>
            <w:shd w:val="clear" w:color="auto" w:fill="00B0F0"/>
            <w:noWrap/>
            <w:hideMark/>
          </w:tcPr>
          <w:p w14:paraId="59E4377A"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r w:rsidRPr="00A0575B">
              <w:rPr>
                <w:rFonts w:cs="Arial"/>
                <w:color w:val="FFFFFF" w:themeColor="background1"/>
                <w:sz w:val="16"/>
                <w:szCs w:val="16"/>
                <w:lang w:val="en-GB" w:eastAsia="de-DE"/>
              </w:rPr>
              <w:t>private</w:t>
            </w:r>
          </w:p>
        </w:tc>
        <w:tc>
          <w:tcPr>
            <w:tcW w:w="1035" w:type="dxa"/>
            <w:shd w:val="clear" w:color="auto" w:fill="00B0F0"/>
            <w:noWrap/>
            <w:hideMark/>
          </w:tcPr>
          <w:p w14:paraId="233125B4" w14:textId="77777777" w:rsidR="00615D23" w:rsidRPr="00A0575B" w:rsidRDefault="00615D23"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n-GB" w:eastAsia="de-DE"/>
              </w:rPr>
            </w:pPr>
          </w:p>
        </w:tc>
      </w:tr>
      <w:tr w:rsidR="00FC29FF" w:rsidRPr="00A0575B" w14:paraId="01FDDE60" w14:textId="77777777" w:rsidTr="00615D23">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3DDDE99"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Panama</w:t>
            </w:r>
          </w:p>
        </w:tc>
        <w:tc>
          <w:tcPr>
            <w:tcW w:w="1576" w:type="dxa"/>
            <w:shd w:val="clear" w:color="auto" w:fill="FFFFFF" w:themeFill="background1"/>
            <w:noWrap/>
            <w:hideMark/>
          </w:tcPr>
          <w:p w14:paraId="51B18C84"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Units</w:t>
            </w:r>
          </w:p>
        </w:tc>
        <w:tc>
          <w:tcPr>
            <w:tcW w:w="1035" w:type="dxa"/>
            <w:shd w:val="clear" w:color="auto" w:fill="FFFFFF" w:themeFill="background1"/>
            <w:noWrap/>
            <w:hideMark/>
          </w:tcPr>
          <w:p w14:paraId="2368843D"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no.</w:t>
            </w:r>
          </w:p>
        </w:tc>
        <w:tc>
          <w:tcPr>
            <w:tcW w:w="1035" w:type="dxa"/>
            <w:shd w:val="clear" w:color="auto" w:fill="FFFFFF" w:themeFill="background1"/>
            <w:noWrap/>
            <w:hideMark/>
          </w:tcPr>
          <w:p w14:paraId="7BA5DB4B" w14:textId="08FF4A0D"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150</w:t>
            </w:r>
          </w:p>
        </w:tc>
        <w:tc>
          <w:tcPr>
            <w:tcW w:w="1035" w:type="dxa"/>
            <w:shd w:val="clear" w:color="auto" w:fill="FFFFFF" w:themeFill="background1"/>
            <w:noWrap/>
            <w:hideMark/>
          </w:tcPr>
          <w:p w14:paraId="77723A13" w14:textId="44C88BF2"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400</w:t>
            </w:r>
          </w:p>
        </w:tc>
        <w:tc>
          <w:tcPr>
            <w:tcW w:w="1035" w:type="dxa"/>
            <w:shd w:val="clear" w:color="auto" w:fill="FFFFFF" w:themeFill="background1"/>
            <w:noWrap/>
            <w:hideMark/>
          </w:tcPr>
          <w:p w14:paraId="742AE808" w14:textId="5CAD97BB"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50</w:t>
            </w:r>
          </w:p>
        </w:tc>
        <w:tc>
          <w:tcPr>
            <w:tcW w:w="1035" w:type="dxa"/>
            <w:shd w:val="clear" w:color="auto" w:fill="FFFFFF" w:themeFill="background1"/>
            <w:noWrap/>
            <w:hideMark/>
          </w:tcPr>
          <w:p w14:paraId="2D1461EF" w14:textId="0AA2D274"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600</w:t>
            </w:r>
          </w:p>
        </w:tc>
      </w:tr>
      <w:tr w:rsidR="00FC29FF" w:rsidRPr="00A0575B" w14:paraId="2F76653D" w14:textId="77777777" w:rsidTr="00615D2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0348C678"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FFFFFF" w:themeFill="background1"/>
            <w:noWrap/>
            <w:hideMark/>
          </w:tcPr>
          <w:p w14:paraId="19F2A8EA"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ER lifespan per EV</w:t>
            </w:r>
          </w:p>
        </w:tc>
        <w:tc>
          <w:tcPr>
            <w:tcW w:w="1035" w:type="dxa"/>
            <w:shd w:val="clear" w:color="auto" w:fill="FFFFFF" w:themeFill="background1"/>
            <w:noWrap/>
            <w:hideMark/>
          </w:tcPr>
          <w:p w14:paraId="0D46CFC7"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shd w:val="clear" w:color="auto" w:fill="FFFFFF" w:themeFill="background1"/>
            <w:noWrap/>
            <w:hideMark/>
          </w:tcPr>
          <w:p w14:paraId="709DCF0A" w14:textId="237066BD"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0,06</w:t>
            </w:r>
          </w:p>
        </w:tc>
        <w:tc>
          <w:tcPr>
            <w:tcW w:w="1035" w:type="dxa"/>
            <w:shd w:val="clear" w:color="auto" w:fill="FFFFFF" w:themeFill="background1"/>
            <w:noWrap/>
            <w:hideMark/>
          </w:tcPr>
          <w:p w14:paraId="7251849A" w14:textId="2A2215C9"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0,006</w:t>
            </w:r>
          </w:p>
        </w:tc>
        <w:tc>
          <w:tcPr>
            <w:tcW w:w="1035" w:type="dxa"/>
            <w:shd w:val="clear" w:color="auto" w:fill="FFFFFF" w:themeFill="background1"/>
            <w:noWrap/>
            <w:hideMark/>
          </w:tcPr>
          <w:p w14:paraId="3C5907B3" w14:textId="78AA918A"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0,006</w:t>
            </w:r>
          </w:p>
        </w:tc>
        <w:tc>
          <w:tcPr>
            <w:tcW w:w="1035" w:type="dxa"/>
            <w:shd w:val="clear" w:color="auto" w:fill="FFFFFF" w:themeFill="background1"/>
            <w:noWrap/>
            <w:hideMark/>
          </w:tcPr>
          <w:p w14:paraId="3E892C54" w14:textId="77777777"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p>
        </w:tc>
      </w:tr>
      <w:tr w:rsidR="00FC29FF" w:rsidRPr="00A0575B" w14:paraId="0208E442" w14:textId="77777777" w:rsidTr="00615D23">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C169D04"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FFFFFF" w:themeFill="background1"/>
            <w:noWrap/>
            <w:hideMark/>
          </w:tcPr>
          <w:p w14:paraId="3A9283B6"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Total ER PM</w:t>
            </w:r>
          </w:p>
        </w:tc>
        <w:tc>
          <w:tcPr>
            <w:tcW w:w="1035" w:type="dxa"/>
            <w:shd w:val="clear" w:color="auto" w:fill="FFFFFF" w:themeFill="background1"/>
            <w:noWrap/>
            <w:hideMark/>
          </w:tcPr>
          <w:p w14:paraId="21D3AE44"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shd w:val="clear" w:color="auto" w:fill="FFFFFF" w:themeFill="background1"/>
            <w:noWrap/>
            <w:hideMark/>
          </w:tcPr>
          <w:p w14:paraId="50D135AD" w14:textId="429E4CF3"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9 </w:t>
            </w:r>
          </w:p>
        </w:tc>
        <w:tc>
          <w:tcPr>
            <w:tcW w:w="1035" w:type="dxa"/>
            <w:shd w:val="clear" w:color="auto" w:fill="FFFFFF" w:themeFill="background1"/>
            <w:noWrap/>
            <w:hideMark/>
          </w:tcPr>
          <w:p w14:paraId="2F99DEDE" w14:textId="4DFADCD2"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2 </w:t>
            </w:r>
          </w:p>
        </w:tc>
        <w:tc>
          <w:tcPr>
            <w:tcW w:w="1035" w:type="dxa"/>
            <w:shd w:val="clear" w:color="auto" w:fill="FFFFFF" w:themeFill="background1"/>
            <w:noWrap/>
            <w:hideMark/>
          </w:tcPr>
          <w:p w14:paraId="3D07A8EA" w14:textId="2BF63643"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0 </w:t>
            </w:r>
          </w:p>
        </w:tc>
        <w:tc>
          <w:tcPr>
            <w:tcW w:w="1035" w:type="dxa"/>
            <w:shd w:val="clear" w:color="auto" w:fill="FFFFFF" w:themeFill="background1"/>
            <w:noWrap/>
            <w:hideMark/>
          </w:tcPr>
          <w:p w14:paraId="69E7F0AC" w14:textId="1F8C773E"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12 </w:t>
            </w:r>
          </w:p>
        </w:tc>
      </w:tr>
      <w:tr w:rsidR="00FC29FF" w:rsidRPr="00A0575B" w14:paraId="71333B14" w14:textId="77777777" w:rsidTr="00615D2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2A296F6D"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Paraguay</w:t>
            </w:r>
          </w:p>
        </w:tc>
        <w:tc>
          <w:tcPr>
            <w:tcW w:w="1576" w:type="dxa"/>
            <w:shd w:val="clear" w:color="auto" w:fill="EDEDED" w:themeFill="accent3" w:themeFillTint="33"/>
            <w:noWrap/>
            <w:hideMark/>
          </w:tcPr>
          <w:p w14:paraId="12A46BF7"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Units</w:t>
            </w:r>
          </w:p>
        </w:tc>
        <w:tc>
          <w:tcPr>
            <w:tcW w:w="1035" w:type="dxa"/>
            <w:shd w:val="clear" w:color="auto" w:fill="EDEDED" w:themeFill="accent3" w:themeFillTint="33"/>
            <w:noWrap/>
            <w:hideMark/>
          </w:tcPr>
          <w:p w14:paraId="48CE9229"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no.</w:t>
            </w:r>
          </w:p>
        </w:tc>
        <w:tc>
          <w:tcPr>
            <w:tcW w:w="1035" w:type="dxa"/>
            <w:shd w:val="clear" w:color="auto" w:fill="EDEDED" w:themeFill="accent3" w:themeFillTint="33"/>
            <w:noWrap/>
            <w:hideMark/>
          </w:tcPr>
          <w:p w14:paraId="37CA07E9" w14:textId="6AC74343"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300</w:t>
            </w:r>
          </w:p>
        </w:tc>
        <w:tc>
          <w:tcPr>
            <w:tcW w:w="1035" w:type="dxa"/>
            <w:shd w:val="clear" w:color="auto" w:fill="EDEDED" w:themeFill="accent3" w:themeFillTint="33"/>
            <w:noWrap/>
            <w:hideMark/>
          </w:tcPr>
          <w:p w14:paraId="3F25A7B0" w14:textId="796C54F3"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300</w:t>
            </w:r>
          </w:p>
        </w:tc>
        <w:tc>
          <w:tcPr>
            <w:tcW w:w="1035" w:type="dxa"/>
            <w:shd w:val="clear" w:color="auto" w:fill="EDEDED" w:themeFill="accent3" w:themeFillTint="33"/>
            <w:noWrap/>
            <w:hideMark/>
          </w:tcPr>
          <w:p w14:paraId="229ED50B" w14:textId="4C03F8F8"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100</w:t>
            </w:r>
          </w:p>
        </w:tc>
        <w:tc>
          <w:tcPr>
            <w:tcW w:w="1035" w:type="dxa"/>
            <w:shd w:val="clear" w:color="auto" w:fill="EDEDED" w:themeFill="accent3" w:themeFillTint="33"/>
            <w:noWrap/>
            <w:hideMark/>
          </w:tcPr>
          <w:p w14:paraId="425FD320" w14:textId="4F732453"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700</w:t>
            </w:r>
          </w:p>
        </w:tc>
      </w:tr>
      <w:tr w:rsidR="00FC29FF" w:rsidRPr="00A0575B" w14:paraId="1025A819" w14:textId="77777777" w:rsidTr="00615D23">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556E60E8"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EDEDED" w:themeFill="accent3" w:themeFillTint="33"/>
            <w:noWrap/>
            <w:hideMark/>
          </w:tcPr>
          <w:p w14:paraId="06887AD4"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ER lifespan per EV</w:t>
            </w:r>
          </w:p>
        </w:tc>
        <w:tc>
          <w:tcPr>
            <w:tcW w:w="1035" w:type="dxa"/>
            <w:shd w:val="clear" w:color="auto" w:fill="EDEDED" w:themeFill="accent3" w:themeFillTint="33"/>
            <w:noWrap/>
            <w:hideMark/>
          </w:tcPr>
          <w:p w14:paraId="3CDCC2A0"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shd w:val="clear" w:color="auto" w:fill="EDEDED" w:themeFill="accent3" w:themeFillTint="33"/>
            <w:noWrap/>
            <w:hideMark/>
          </w:tcPr>
          <w:p w14:paraId="7C234305" w14:textId="0F456304"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0,05</w:t>
            </w:r>
          </w:p>
        </w:tc>
        <w:tc>
          <w:tcPr>
            <w:tcW w:w="1035" w:type="dxa"/>
            <w:shd w:val="clear" w:color="auto" w:fill="EDEDED" w:themeFill="accent3" w:themeFillTint="33"/>
            <w:noWrap/>
            <w:hideMark/>
          </w:tcPr>
          <w:p w14:paraId="783CBAC4" w14:textId="73F44247"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0,050</w:t>
            </w:r>
          </w:p>
        </w:tc>
        <w:tc>
          <w:tcPr>
            <w:tcW w:w="1035" w:type="dxa"/>
            <w:shd w:val="clear" w:color="auto" w:fill="EDEDED" w:themeFill="accent3" w:themeFillTint="33"/>
            <w:noWrap/>
            <w:hideMark/>
          </w:tcPr>
          <w:p w14:paraId="4CD5FBE5" w14:textId="7C9F95F9"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0,050</w:t>
            </w:r>
          </w:p>
        </w:tc>
        <w:tc>
          <w:tcPr>
            <w:tcW w:w="1035" w:type="dxa"/>
            <w:shd w:val="clear" w:color="auto" w:fill="EDEDED" w:themeFill="accent3" w:themeFillTint="33"/>
            <w:noWrap/>
            <w:hideMark/>
          </w:tcPr>
          <w:p w14:paraId="482D626C" w14:textId="77777777"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p>
        </w:tc>
      </w:tr>
      <w:tr w:rsidR="00FC29FF" w:rsidRPr="00A0575B" w14:paraId="56E9C0CE" w14:textId="77777777" w:rsidTr="00615D23">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0FAE78EA"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EDEDED" w:themeFill="accent3" w:themeFillTint="33"/>
            <w:noWrap/>
            <w:hideMark/>
          </w:tcPr>
          <w:p w14:paraId="33615478"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Total ER PM</w:t>
            </w:r>
          </w:p>
        </w:tc>
        <w:tc>
          <w:tcPr>
            <w:tcW w:w="1035" w:type="dxa"/>
            <w:shd w:val="clear" w:color="auto" w:fill="EDEDED" w:themeFill="accent3" w:themeFillTint="33"/>
            <w:noWrap/>
            <w:hideMark/>
          </w:tcPr>
          <w:p w14:paraId="37F2408F"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shd w:val="clear" w:color="auto" w:fill="EDEDED" w:themeFill="accent3" w:themeFillTint="33"/>
            <w:noWrap/>
            <w:hideMark/>
          </w:tcPr>
          <w:p w14:paraId="63A373EE" w14:textId="11497F26"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14 </w:t>
            </w:r>
          </w:p>
        </w:tc>
        <w:tc>
          <w:tcPr>
            <w:tcW w:w="1035" w:type="dxa"/>
            <w:shd w:val="clear" w:color="auto" w:fill="EDEDED" w:themeFill="accent3" w:themeFillTint="33"/>
            <w:noWrap/>
            <w:hideMark/>
          </w:tcPr>
          <w:p w14:paraId="674CAF73" w14:textId="4B9F9ADD"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15 </w:t>
            </w:r>
          </w:p>
        </w:tc>
        <w:tc>
          <w:tcPr>
            <w:tcW w:w="1035" w:type="dxa"/>
            <w:shd w:val="clear" w:color="auto" w:fill="EDEDED" w:themeFill="accent3" w:themeFillTint="33"/>
            <w:noWrap/>
            <w:hideMark/>
          </w:tcPr>
          <w:p w14:paraId="03F3ACD1" w14:textId="4504E3C1"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5 </w:t>
            </w:r>
          </w:p>
        </w:tc>
        <w:tc>
          <w:tcPr>
            <w:tcW w:w="1035" w:type="dxa"/>
            <w:shd w:val="clear" w:color="auto" w:fill="EDEDED" w:themeFill="accent3" w:themeFillTint="33"/>
            <w:noWrap/>
            <w:hideMark/>
          </w:tcPr>
          <w:p w14:paraId="36397FD4" w14:textId="67A24A4A"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34 </w:t>
            </w:r>
          </w:p>
        </w:tc>
      </w:tr>
      <w:tr w:rsidR="00FC29FF" w:rsidRPr="00A0575B" w14:paraId="6EFFD5F3" w14:textId="77777777" w:rsidTr="00615D23">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096820A"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Uruguay</w:t>
            </w:r>
          </w:p>
        </w:tc>
        <w:tc>
          <w:tcPr>
            <w:tcW w:w="1576" w:type="dxa"/>
            <w:shd w:val="clear" w:color="auto" w:fill="FFFFFF" w:themeFill="background1"/>
            <w:noWrap/>
            <w:hideMark/>
          </w:tcPr>
          <w:p w14:paraId="0907A65C"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Units</w:t>
            </w:r>
          </w:p>
        </w:tc>
        <w:tc>
          <w:tcPr>
            <w:tcW w:w="1035" w:type="dxa"/>
            <w:shd w:val="clear" w:color="auto" w:fill="FFFFFF" w:themeFill="background1"/>
            <w:noWrap/>
            <w:hideMark/>
          </w:tcPr>
          <w:p w14:paraId="0585BA0B"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no.</w:t>
            </w:r>
          </w:p>
        </w:tc>
        <w:tc>
          <w:tcPr>
            <w:tcW w:w="1035" w:type="dxa"/>
            <w:shd w:val="clear" w:color="auto" w:fill="FFFFFF" w:themeFill="background1"/>
            <w:noWrap/>
            <w:hideMark/>
          </w:tcPr>
          <w:p w14:paraId="763EE852" w14:textId="5808D74B"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200</w:t>
            </w:r>
          </w:p>
        </w:tc>
        <w:tc>
          <w:tcPr>
            <w:tcW w:w="1035" w:type="dxa"/>
            <w:shd w:val="clear" w:color="auto" w:fill="FFFFFF" w:themeFill="background1"/>
            <w:noWrap/>
            <w:hideMark/>
          </w:tcPr>
          <w:p w14:paraId="15CD6479" w14:textId="66382CFD"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200</w:t>
            </w:r>
          </w:p>
        </w:tc>
        <w:tc>
          <w:tcPr>
            <w:tcW w:w="1035" w:type="dxa"/>
            <w:shd w:val="clear" w:color="auto" w:fill="FFFFFF" w:themeFill="background1"/>
            <w:noWrap/>
            <w:hideMark/>
          </w:tcPr>
          <w:p w14:paraId="03943474" w14:textId="1422D076"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100</w:t>
            </w:r>
          </w:p>
        </w:tc>
        <w:tc>
          <w:tcPr>
            <w:tcW w:w="1035" w:type="dxa"/>
            <w:shd w:val="clear" w:color="auto" w:fill="FFFFFF" w:themeFill="background1"/>
            <w:noWrap/>
            <w:hideMark/>
          </w:tcPr>
          <w:p w14:paraId="67ACE5FC" w14:textId="16A3FD96"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500</w:t>
            </w:r>
          </w:p>
        </w:tc>
      </w:tr>
      <w:tr w:rsidR="00FC29FF" w:rsidRPr="00A0575B" w14:paraId="561FA5D8" w14:textId="77777777" w:rsidTr="00615D2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7BFD093"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FFFFFF" w:themeFill="background1"/>
            <w:noWrap/>
            <w:hideMark/>
          </w:tcPr>
          <w:p w14:paraId="44B176A3"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ER lifespan per EV</w:t>
            </w:r>
          </w:p>
        </w:tc>
        <w:tc>
          <w:tcPr>
            <w:tcW w:w="1035" w:type="dxa"/>
            <w:shd w:val="clear" w:color="auto" w:fill="FFFFFF" w:themeFill="background1"/>
            <w:noWrap/>
            <w:hideMark/>
          </w:tcPr>
          <w:p w14:paraId="67211FE2"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shd w:val="clear" w:color="auto" w:fill="FFFFFF" w:themeFill="background1"/>
            <w:noWrap/>
            <w:hideMark/>
          </w:tcPr>
          <w:p w14:paraId="7CD104AE" w14:textId="2C44183E"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w:t>
            </w:r>
          </w:p>
        </w:tc>
        <w:tc>
          <w:tcPr>
            <w:tcW w:w="1035" w:type="dxa"/>
            <w:shd w:val="clear" w:color="auto" w:fill="FFFFFF" w:themeFill="background1"/>
            <w:noWrap/>
            <w:hideMark/>
          </w:tcPr>
          <w:p w14:paraId="0DBE46E3" w14:textId="4B62D791"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0,086</w:t>
            </w:r>
          </w:p>
        </w:tc>
        <w:tc>
          <w:tcPr>
            <w:tcW w:w="1035" w:type="dxa"/>
            <w:shd w:val="clear" w:color="auto" w:fill="FFFFFF" w:themeFill="background1"/>
            <w:noWrap/>
            <w:hideMark/>
          </w:tcPr>
          <w:p w14:paraId="57B224BE" w14:textId="29F4B5BC"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0,086</w:t>
            </w:r>
          </w:p>
        </w:tc>
        <w:tc>
          <w:tcPr>
            <w:tcW w:w="1035" w:type="dxa"/>
            <w:shd w:val="clear" w:color="auto" w:fill="FFFFFF" w:themeFill="background1"/>
            <w:noWrap/>
            <w:hideMark/>
          </w:tcPr>
          <w:p w14:paraId="6838624A" w14:textId="77777777"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p>
        </w:tc>
      </w:tr>
      <w:tr w:rsidR="00FC29FF" w:rsidRPr="00A0575B" w14:paraId="5C650D1B" w14:textId="77777777" w:rsidTr="00615D23">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tcBorders>
              <w:bottom w:val="single" w:sz="4" w:space="0" w:color="auto"/>
            </w:tcBorders>
            <w:shd w:val="clear" w:color="auto" w:fill="FFFFFF" w:themeFill="background1"/>
            <w:noWrap/>
            <w:hideMark/>
          </w:tcPr>
          <w:p w14:paraId="172A3E11"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tcBorders>
              <w:bottom w:val="single" w:sz="4" w:space="0" w:color="auto"/>
            </w:tcBorders>
            <w:shd w:val="clear" w:color="auto" w:fill="FFFFFF" w:themeFill="background1"/>
            <w:noWrap/>
            <w:hideMark/>
          </w:tcPr>
          <w:p w14:paraId="4A9BC98C"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Total ER PM</w:t>
            </w:r>
          </w:p>
        </w:tc>
        <w:tc>
          <w:tcPr>
            <w:tcW w:w="1035" w:type="dxa"/>
            <w:tcBorders>
              <w:bottom w:val="single" w:sz="4" w:space="0" w:color="auto"/>
            </w:tcBorders>
            <w:shd w:val="clear" w:color="auto" w:fill="FFFFFF" w:themeFill="background1"/>
            <w:noWrap/>
            <w:hideMark/>
          </w:tcPr>
          <w:p w14:paraId="558FE29D"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w:t>
            </w:r>
          </w:p>
        </w:tc>
        <w:tc>
          <w:tcPr>
            <w:tcW w:w="1035" w:type="dxa"/>
            <w:tcBorders>
              <w:bottom w:val="single" w:sz="4" w:space="0" w:color="auto"/>
            </w:tcBorders>
            <w:shd w:val="clear" w:color="auto" w:fill="FFFFFF" w:themeFill="background1"/>
            <w:noWrap/>
            <w:hideMark/>
          </w:tcPr>
          <w:p w14:paraId="0BF58A50" w14:textId="2BECC1E4"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10 </w:t>
            </w:r>
          </w:p>
        </w:tc>
        <w:tc>
          <w:tcPr>
            <w:tcW w:w="1035" w:type="dxa"/>
            <w:tcBorders>
              <w:bottom w:val="single" w:sz="4" w:space="0" w:color="auto"/>
            </w:tcBorders>
            <w:shd w:val="clear" w:color="auto" w:fill="FFFFFF" w:themeFill="background1"/>
            <w:noWrap/>
            <w:hideMark/>
          </w:tcPr>
          <w:p w14:paraId="3F129C3A" w14:textId="34D72471"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17 </w:t>
            </w:r>
          </w:p>
        </w:tc>
        <w:tc>
          <w:tcPr>
            <w:tcW w:w="1035" w:type="dxa"/>
            <w:tcBorders>
              <w:bottom w:val="single" w:sz="4" w:space="0" w:color="auto"/>
            </w:tcBorders>
            <w:shd w:val="clear" w:color="auto" w:fill="FFFFFF" w:themeFill="background1"/>
            <w:noWrap/>
            <w:hideMark/>
          </w:tcPr>
          <w:p w14:paraId="48002BBF" w14:textId="3C9DCA02"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9 </w:t>
            </w:r>
          </w:p>
        </w:tc>
        <w:tc>
          <w:tcPr>
            <w:tcW w:w="1035" w:type="dxa"/>
            <w:tcBorders>
              <w:bottom w:val="single" w:sz="4" w:space="0" w:color="auto"/>
            </w:tcBorders>
            <w:shd w:val="clear" w:color="auto" w:fill="FFFFFF" w:themeFill="background1"/>
            <w:noWrap/>
            <w:hideMark/>
          </w:tcPr>
          <w:p w14:paraId="499B0D96" w14:textId="0C5B8918"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 xml:space="preserve"> 35 </w:t>
            </w:r>
          </w:p>
        </w:tc>
      </w:tr>
      <w:tr w:rsidR="00FC29FF" w:rsidRPr="00A0575B" w14:paraId="628039F4" w14:textId="77777777" w:rsidTr="00615D2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tcBorders>
              <w:top w:val="single" w:sz="4" w:space="0" w:color="auto"/>
            </w:tcBorders>
            <w:shd w:val="clear" w:color="auto" w:fill="C9C9C9" w:themeFill="accent3" w:themeFillTint="99"/>
            <w:noWrap/>
            <w:hideMark/>
          </w:tcPr>
          <w:p w14:paraId="2BB4A7F1"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Total</w:t>
            </w:r>
          </w:p>
        </w:tc>
        <w:tc>
          <w:tcPr>
            <w:tcW w:w="1576" w:type="dxa"/>
            <w:tcBorders>
              <w:top w:val="single" w:sz="4" w:space="0" w:color="auto"/>
            </w:tcBorders>
            <w:shd w:val="clear" w:color="auto" w:fill="C9C9C9" w:themeFill="accent3" w:themeFillTint="99"/>
            <w:noWrap/>
            <w:hideMark/>
          </w:tcPr>
          <w:p w14:paraId="4C9B87F1"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Units</w:t>
            </w:r>
          </w:p>
        </w:tc>
        <w:tc>
          <w:tcPr>
            <w:tcW w:w="1035" w:type="dxa"/>
            <w:tcBorders>
              <w:top w:val="single" w:sz="4" w:space="0" w:color="auto"/>
            </w:tcBorders>
            <w:shd w:val="clear" w:color="auto" w:fill="C9C9C9" w:themeFill="accent3" w:themeFillTint="99"/>
            <w:noWrap/>
            <w:hideMark/>
          </w:tcPr>
          <w:p w14:paraId="05BAF5A8" w14:textId="77777777" w:rsidR="00FC29FF" w:rsidRPr="00A0575B" w:rsidRDefault="00FC29FF" w:rsidP="00FC29FF">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no.</w:t>
            </w:r>
          </w:p>
        </w:tc>
        <w:tc>
          <w:tcPr>
            <w:tcW w:w="1035" w:type="dxa"/>
            <w:tcBorders>
              <w:top w:val="single" w:sz="4" w:space="0" w:color="auto"/>
            </w:tcBorders>
            <w:shd w:val="clear" w:color="auto" w:fill="C9C9C9" w:themeFill="accent3" w:themeFillTint="99"/>
            <w:noWrap/>
            <w:hideMark/>
          </w:tcPr>
          <w:p w14:paraId="706EDDFC" w14:textId="2EA71372"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650</w:t>
            </w:r>
          </w:p>
        </w:tc>
        <w:tc>
          <w:tcPr>
            <w:tcW w:w="1035" w:type="dxa"/>
            <w:tcBorders>
              <w:top w:val="single" w:sz="4" w:space="0" w:color="auto"/>
            </w:tcBorders>
            <w:shd w:val="clear" w:color="auto" w:fill="C9C9C9" w:themeFill="accent3" w:themeFillTint="99"/>
            <w:noWrap/>
            <w:hideMark/>
          </w:tcPr>
          <w:p w14:paraId="04712529" w14:textId="5AA1B8F4"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900</w:t>
            </w:r>
          </w:p>
        </w:tc>
        <w:tc>
          <w:tcPr>
            <w:tcW w:w="1035" w:type="dxa"/>
            <w:tcBorders>
              <w:top w:val="single" w:sz="4" w:space="0" w:color="auto"/>
            </w:tcBorders>
            <w:shd w:val="clear" w:color="auto" w:fill="C9C9C9" w:themeFill="accent3" w:themeFillTint="99"/>
            <w:noWrap/>
            <w:hideMark/>
          </w:tcPr>
          <w:p w14:paraId="03AB597C" w14:textId="09415FDB"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250</w:t>
            </w:r>
          </w:p>
        </w:tc>
        <w:tc>
          <w:tcPr>
            <w:tcW w:w="1035" w:type="dxa"/>
            <w:tcBorders>
              <w:top w:val="single" w:sz="4" w:space="0" w:color="auto"/>
            </w:tcBorders>
            <w:shd w:val="clear" w:color="auto" w:fill="C9C9C9" w:themeFill="accent3" w:themeFillTint="99"/>
            <w:noWrap/>
            <w:hideMark/>
          </w:tcPr>
          <w:p w14:paraId="5F949760" w14:textId="2C0707A9" w:rsidR="00FC29FF" w:rsidRPr="00A0575B" w:rsidRDefault="00FC29FF" w:rsidP="00FC29F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GB" w:eastAsia="de-DE"/>
              </w:rPr>
            </w:pPr>
            <w:r w:rsidRPr="00A0575B">
              <w:rPr>
                <w:rFonts w:cs="Arial"/>
                <w:sz w:val="16"/>
                <w:szCs w:val="16"/>
                <w:lang w:val="en-GB"/>
              </w:rPr>
              <w:t>1800</w:t>
            </w:r>
          </w:p>
        </w:tc>
      </w:tr>
      <w:tr w:rsidR="00FC29FF" w:rsidRPr="00A0575B" w14:paraId="5B65169A" w14:textId="77777777" w:rsidTr="00615D23">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C9C9C9" w:themeFill="accent3" w:themeFillTint="99"/>
            <w:noWrap/>
            <w:hideMark/>
          </w:tcPr>
          <w:p w14:paraId="6C3C3E0C" w14:textId="77777777" w:rsidR="00FC29FF" w:rsidRPr="00A0575B" w:rsidRDefault="00FC29FF" w:rsidP="00FC29FF">
            <w:pPr>
              <w:jc w:val="left"/>
              <w:rPr>
                <w:rFonts w:cs="Arial"/>
                <w:color w:val="000000"/>
                <w:sz w:val="16"/>
                <w:szCs w:val="16"/>
                <w:lang w:val="en-GB" w:eastAsia="de-DE"/>
              </w:rPr>
            </w:pPr>
            <w:r w:rsidRPr="00A0575B">
              <w:rPr>
                <w:rFonts w:cs="Arial"/>
                <w:color w:val="000000"/>
                <w:sz w:val="16"/>
                <w:szCs w:val="16"/>
                <w:lang w:val="en-GB" w:eastAsia="de-DE"/>
              </w:rPr>
              <w:t> </w:t>
            </w:r>
          </w:p>
        </w:tc>
        <w:tc>
          <w:tcPr>
            <w:tcW w:w="1576" w:type="dxa"/>
            <w:shd w:val="clear" w:color="auto" w:fill="C9C9C9" w:themeFill="accent3" w:themeFillTint="99"/>
            <w:noWrap/>
            <w:hideMark/>
          </w:tcPr>
          <w:p w14:paraId="5E254E97"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GB" w:eastAsia="de-DE"/>
              </w:rPr>
            </w:pPr>
            <w:r w:rsidRPr="00A0575B">
              <w:rPr>
                <w:rFonts w:cs="Arial"/>
                <w:color w:val="000000"/>
                <w:sz w:val="16"/>
                <w:szCs w:val="16"/>
                <w:lang w:val="en-GB" w:eastAsia="de-DE"/>
              </w:rPr>
              <w:t>Total ER PM</w:t>
            </w:r>
          </w:p>
        </w:tc>
        <w:tc>
          <w:tcPr>
            <w:tcW w:w="1035" w:type="dxa"/>
            <w:shd w:val="clear" w:color="auto" w:fill="C9C9C9" w:themeFill="accent3" w:themeFillTint="99"/>
            <w:noWrap/>
            <w:hideMark/>
          </w:tcPr>
          <w:p w14:paraId="5844D6FD" w14:textId="77777777" w:rsidR="00FC29FF" w:rsidRPr="00A0575B" w:rsidRDefault="00FC29FF" w:rsidP="00FC29FF">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n-GB" w:eastAsia="de-DE"/>
              </w:rPr>
            </w:pPr>
            <w:r w:rsidRPr="00A0575B">
              <w:rPr>
                <w:rFonts w:cs="Arial"/>
                <w:b/>
                <w:bCs/>
                <w:color w:val="000000"/>
                <w:sz w:val="16"/>
                <w:szCs w:val="16"/>
                <w:lang w:val="en-GB" w:eastAsia="de-DE"/>
              </w:rPr>
              <w:t>t</w:t>
            </w:r>
          </w:p>
        </w:tc>
        <w:tc>
          <w:tcPr>
            <w:tcW w:w="1035" w:type="dxa"/>
            <w:shd w:val="clear" w:color="auto" w:fill="C9C9C9" w:themeFill="accent3" w:themeFillTint="99"/>
            <w:noWrap/>
            <w:hideMark/>
          </w:tcPr>
          <w:p w14:paraId="63F88378" w14:textId="24BDB397"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n-GB" w:eastAsia="de-DE"/>
              </w:rPr>
            </w:pPr>
            <w:r w:rsidRPr="00A0575B">
              <w:rPr>
                <w:rFonts w:cs="Arial"/>
                <w:b/>
                <w:bCs/>
                <w:sz w:val="16"/>
                <w:szCs w:val="16"/>
                <w:lang w:val="en-GB"/>
              </w:rPr>
              <w:t xml:space="preserve"> 30 </w:t>
            </w:r>
          </w:p>
        </w:tc>
        <w:tc>
          <w:tcPr>
            <w:tcW w:w="1035" w:type="dxa"/>
            <w:shd w:val="clear" w:color="auto" w:fill="C9C9C9" w:themeFill="accent3" w:themeFillTint="99"/>
            <w:noWrap/>
            <w:hideMark/>
          </w:tcPr>
          <w:p w14:paraId="4250B01C" w14:textId="1C9F6F7D"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n-GB" w:eastAsia="de-DE"/>
              </w:rPr>
            </w:pPr>
            <w:r w:rsidRPr="00A0575B">
              <w:rPr>
                <w:rFonts w:cs="Arial"/>
                <w:b/>
                <w:bCs/>
                <w:sz w:val="16"/>
                <w:szCs w:val="16"/>
                <w:lang w:val="en-GB"/>
              </w:rPr>
              <w:t xml:space="preserve"> 30 </w:t>
            </w:r>
          </w:p>
        </w:tc>
        <w:tc>
          <w:tcPr>
            <w:tcW w:w="1035" w:type="dxa"/>
            <w:shd w:val="clear" w:color="auto" w:fill="C9C9C9" w:themeFill="accent3" w:themeFillTint="99"/>
            <w:noWrap/>
            <w:hideMark/>
          </w:tcPr>
          <w:p w14:paraId="2C80F904" w14:textId="2B84DAC3"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n-GB" w:eastAsia="de-DE"/>
              </w:rPr>
            </w:pPr>
            <w:r w:rsidRPr="00A0575B">
              <w:rPr>
                <w:rFonts w:cs="Arial"/>
                <w:b/>
                <w:bCs/>
                <w:sz w:val="16"/>
                <w:szCs w:val="16"/>
                <w:lang w:val="en-GB"/>
              </w:rPr>
              <w:t xml:space="preserve"> 10 </w:t>
            </w:r>
          </w:p>
        </w:tc>
        <w:tc>
          <w:tcPr>
            <w:tcW w:w="1035" w:type="dxa"/>
            <w:shd w:val="clear" w:color="auto" w:fill="C9C9C9" w:themeFill="accent3" w:themeFillTint="99"/>
            <w:noWrap/>
            <w:hideMark/>
          </w:tcPr>
          <w:p w14:paraId="6ADDD5EF" w14:textId="22C94834" w:rsidR="00FC29FF" w:rsidRPr="00A0575B" w:rsidRDefault="00FC29FF" w:rsidP="00FC29FF">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n-GB" w:eastAsia="de-DE"/>
              </w:rPr>
            </w:pPr>
            <w:r w:rsidRPr="00A0575B">
              <w:rPr>
                <w:rFonts w:cs="Arial"/>
                <w:b/>
                <w:bCs/>
                <w:sz w:val="16"/>
                <w:szCs w:val="16"/>
                <w:lang w:val="en-GB"/>
              </w:rPr>
              <w:t xml:space="preserve"> 80 </w:t>
            </w:r>
          </w:p>
        </w:tc>
      </w:tr>
    </w:tbl>
    <w:p w14:paraId="45E48865" w14:textId="05D6A6EC" w:rsidR="0070752C" w:rsidRPr="00406472" w:rsidRDefault="004E4C8E" w:rsidP="0070752C">
      <w:pPr>
        <w:spacing w:after="0" w:line="240" w:lineRule="auto"/>
        <w:jc w:val="center"/>
        <w:rPr>
          <w:i/>
          <w:iCs/>
          <w:sz w:val="18"/>
          <w:szCs w:val="18"/>
        </w:rPr>
      </w:pPr>
      <w:r w:rsidRPr="00406472">
        <w:rPr>
          <w:i/>
          <w:iCs/>
          <w:sz w:val="18"/>
          <w:szCs w:val="18"/>
        </w:rPr>
        <w:t xml:space="preserve">Source: </w:t>
      </w:r>
      <w:proofErr w:type="spellStart"/>
      <w:r w:rsidRPr="00406472">
        <w:rPr>
          <w:i/>
          <w:iCs/>
          <w:sz w:val="18"/>
          <w:szCs w:val="18"/>
        </w:rPr>
        <w:t>Hinico</w:t>
      </w:r>
      <w:proofErr w:type="spellEnd"/>
      <w:r w:rsidRPr="00406472">
        <w:rPr>
          <w:i/>
          <w:iCs/>
          <w:sz w:val="18"/>
          <w:szCs w:val="18"/>
        </w:rPr>
        <w:t xml:space="preserve"> / the </w:t>
      </w:r>
      <w:proofErr w:type="spellStart"/>
      <w:r w:rsidRPr="00406472">
        <w:rPr>
          <w:i/>
          <w:iCs/>
          <w:sz w:val="18"/>
          <w:szCs w:val="18"/>
        </w:rPr>
        <w:t>greenwerk</w:t>
      </w:r>
      <w:proofErr w:type="spellEnd"/>
      <w:r w:rsidRPr="00406472">
        <w:rPr>
          <w:i/>
          <w:iCs/>
          <w:sz w:val="18"/>
          <w:szCs w:val="18"/>
        </w:rPr>
        <w:t xml:space="preserve">, Feasibility Study, Report T5 Estimated Impacts of the </w:t>
      </w:r>
      <w:r w:rsidR="00F84CBB" w:rsidRPr="00406472">
        <w:rPr>
          <w:i/>
          <w:iCs/>
          <w:sz w:val="18"/>
          <w:szCs w:val="18"/>
        </w:rPr>
        <w:t>Sub-Program 2</w:t>
      </w:r>
      <w:r w:rsidRPr="00406472">
        <w:rPr>
          <w:i/>
          <w:iCs/>
          <w:sz w:val="18"/>
          <w:szCs w:val="18"/>
        </w:rPr>
        <w:t xml:space="preserve">, 2021 </w:t>
      </w:r>
    </w:p>
    <w:p w14:paraId="752D6D69" w14:textId="7C8776FB" w:rsidR="004E4C8E" w:rsidRPr="00102605" w:rsidRDefault="004E4C8E" w:rsidP="00AE798F">
      <w:pPr>
        <w:spacing w:after="0"/>
        <w:jc w:val="center"/>
      </w:pPr>
      <w:bookmarkStart w:id="25" w:name="_Ref69314682"/>
      <w:r w:rsidRPr="00102605">
        <w:t xml:space="preserve">Table </w:t>
      </w:r>
      <w:r>
        <w:fldChar w:fldCharType="begin"/>
      </w:r>
      <w:r>
        <w:instrText>SEQ Table \* ARABIC</w:instrText>
      </w:r>
      <w:r>
        <w:fldChar w:fldCharType="separate"/>
      </w:r>
      <w:r w:rsidR="00072B3C">
        <w:rPr>
          <w:noProof/>
        </w:rPr>
        <w:t>8</w:t>
      </w:r>
      <w:r>
        <w:fldChar w:fldCharType="end"/>
      </w:r>
      <w:bookmarkEnd w:id="25"/>
      <w:r w:rsidRPr="00102605">
        <w:t xml:space="preserve">: Projected Lifetime </w:t>
      </w:r>
      <w:proofErr w:type="spellStart"/>
      <w:r w:rsidRPr="00102605">
        <w:t>N</w:t>
      </w:r>
      <w:r w:rsidR="005914EB" w:rsidRPr="00102605">
        <w:t>o</w:t>
      </w:r>
      <w:r w:rsidRPr="00102605">
        <w:t>x</w:t>
      </w:r>
      <w:proofErr w:type="spellEnd"/>
      <w:r w:rsidRPr="00102605">
        <w:t xml:space="preserve"> Pollutant Reductions (tons) per country</w:t>
      </w:r>
    </w:p>
    <w:tbl>
      <w:tblPr>
        <w:tblStyle w:val="PlainTable11"/>
        <w:tblW w:w="7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576"/>
        <w:gridCol w:w="1035"/>
        <w:gridCol w:w="1035"/>
        <w:gridCol w:w="1035"/>
        <w:gridCol w:w="1035"/>
        <w:gridCol w:w="1035"/>
      </w:tblGrid>
      <w:tr w:rsidR="00C121D1" w:rsidRPr="00102605" w14:paraId="188C7D77" w14:textId="77777777" w:rsidTr="00C121D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6ACB5E90" w14:textId="77777777" w:rsidR="00C121D1" w:rsidRPr="00A0575B" w:rsidRDefault="00C121D1" w:rsidP="00794753">
            <w:pPr>
              <w:jc w:val="center"/>
              <w:rPr>
                <w:rFonts w:cs="Arial"/>
                <w:color w:val="FFFFFF" w:themeColor="background1"/>
                <w:sz w:val="18"/>
                <w:szCs w:val="18"/>
                <w:lang w:val="en-GB" w:eastAsia="de-DE"/>
              </w:rPr>
            </w:pPr>
            <w:r w:rsidRPr="00A0575B">
              <w:rPr>
                <w:rFonts w:cs="Arial"/>
                <w:color w:val="FFFFFF" w:themeColor="background1"/>
                <w:sz w:val="18"/>
                <w:szCs w:val="18"/>
                <w:lang w:val="en-GB" w:eastAsia="de-DE"/>
              </w:rPr>
              <w:t>Country</w:t>
            </w:r>
          </w:p>
        </w:tc>
        <w:tc>
          <w:tcPr>
            <w:tcW w:w="1576" w:type="dxa"/>
            <w:shd w:val="clear" w:color="auto" w:fill="00B0F0"/>
            <w:noWrap/>
            <w:hideMark/>
          </w:tcPr>
          <w:p w14:paraId="16F79940" w14:textId="77777777" w:rsidR="00C121D1" w:rsidRPr="00A0575B" w:rsidRDefault="00C121D1"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Parameter</w:t>
            </w:r>
          </w:p>
        </w:tc>
        <w:tc>
          <w:tcPr>
            <w:tcW w:w="1035" w:type="dxa"/>
            <w:shd w:val="clear" w:color="auto" w:fill="00B0F0"/>
            <w:noWrap/>
            <w:hideMark/>
          </w:tcPr>
          <w:p w14:paraId="33BEE51F" w14:textId="77777777" w:rsidR="00C121D1" w:rsidRPr="00A0575B" w:rsidRDefault="00C121D1"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Unit</w:t>
            </w:r>
          </w:p>
        </w:tc>
        <w:tc>
          <w:tcPr>
            <w:tcW w:w="1035" w:type="dxa"/>
            <w:shd w:val="clear" w:color="auto" w:fill="00B0F0"/>
            <w:noWrap/>
            <w:hideMark/>
          </w:tcPr>
          <w:p w14:paraId="3D68AAEE" w14:textId="77777777" w:rsidR="00C121D1" w:rsidRPr="00A0575B" w:rsidRDefault="00C121D1"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e-buses</w:t>
            </w:r>
          </w:p>
        </w:tc>
        <w:tc>
          <w:tcPr>
            <w:tcW w:w="2070" w:type="dxa"/>
            <w:gridSpan w:val="2"/>
            <w:shd w:val="clear" w:color="auto" w:fill="00B0F0"/>
            <w:noWrap/>
            <w:hideMark/>
          </w:tcPr>
          <w:p w14:paraId="037578D6" w14:textId="77777777" w:rsidR="00C121D1" w:rsidRPr="00A0575B" w:rsidRDefault="00C121D1"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e-LCVs</w:t>
            </w:r>
          </w:p>
        </w:tc>
        <w:tc>
          <w:tcPr>
            <w:tcW w:w="1035" w:type="dxa"/>
            <w:shd w:val="clear" w:color="auto" w:fill="00B0F0"/>
            <w:noWrap/>
            <w:hideMark/>
          </w:tcPr>
          <w:p w14:paraId="4CA95E1E" w14:textId="77777777" w:rsidR="00C121D1" w:rsidRPr="00A0575B" w:rsidRDefault="00C121D1" w:rsidP="0079475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Total</w:t>
            </w:r>
          </w:p>
        </w:tc>
      </w:tr>
      <w:tr w:rsidR="00C121D1" w:rsidRPr="00102605" w14:paraId="493EE944" w14:textId="77777777" w:rsidTr="00C121D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60B60C87" w14:textId="77777777" w:rsidR="00C121D1" w:rsidRPr="00A0575B" w:rsidRDefault="00C121D1" w:rsidP="00794753">
            <w:pPr>
              <w:jc w:val="center"/>
              <w:rPr>
                <w:rFonts w:cs="Arial"/>
                <w:color w:val="FFFFFF" w:themeColor="background1"/>
                <w:sz w:val="18"/>
                <w:szCs w:val="18"/>
                <w:lang w:val="en-GB" w:eastAsia="de-DE"/>
              </w:rPr>
            </w:pPr>
          </w:p>
        </w:tc>
        <w:tc>
          <w:tcPr>
            <w:tcW w:w="1576" w:type="dxa"/>
            <w:shd w:val="clear" w:color="auto" w:fill="00B0F0"/>
            <w:noWrap/>
            <w:hideMark/>
          </w:tcPr>
          <w:p w14:paraId="430B9021"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p>
        </w:tc>
        <w:tc>
          <w:tcPr>
            <w:tcW w:w="1035" w:type="dxa"/>
            <w:shd w:val="clear" w:color="auto" w:fill="00B0F0"/>
            <w:noWrap/>
            <w:hideMark/>
          </w:tcPr>
          <w:p w14:paraId="2DA509D9"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p>
        </w:tc>
        <w:tc>
          <w:tcPr>
            <w:tcW w:w="1035" w:type="dxa"/>
            <w:shd w:val="clear" w:color="auto" w:fill="00B0F0"/>
            <w:noWrap/>
            <w:hideMark/>
          </w:tcPr>
          <w:p w14:paraId="2F7784BA"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public</w:t>
            </w:r>
          </w:p>
        </w:tc>
        <w:tc>
          <w:tcPr>
            <w:tcW w:w="1035" w:type="dxa"/>
            <w:shd w:val="clear" w:color="auto" w:fill="00B0F0"/>
            <w:noWrap/>
            <w:hideMark/>
          </w:tcPr>
          <w:p w14:paraId="00553615"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public</w:t>
            </w:r>
          </w:p>
        </w:tc>
        <w:tc>
          <w:tcPr>
            <w:tcW w:w="1035" w:type="dxa"/>
            <w:shd w:val="clear" w:color="auto" w:fill="00B0F0"/>
            <w:noWrap/>
            <w:hideMark/>
          </w:tcPr>
          <w:p w14:paraId="60086A37"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r w:rsidRPr="00A0575B">
              <w:rPr>
                <w:rFonts w:cs="Arial"/>
                <w:color w:val="FFFFFF" w:themeColor="background1"/>
                <w:sz w:val="18"/>
                <w:szCs w:val="18"/>
                <w:lang w:val="en-GB" w:eastAsia="de-DE"/>
              </w:rPr>
              <w:t>private</w:t>
            </w:r>
          </w:p>
        </w:tc>
        <w:tc>
          <w:tcPr>
            <w:tcW w:w="1035" w:type="dxa"/>
            <w:shd w:val="clear" w:color="auto" w:fill="00B0F0"/>
            <w:noWrap/>
            <w:hideMark/>
          </w:tcPr>
          <w:p w14:paraId="3DDFAEBA" w14:textId="77777777" w:rsidR="00C121D1" w:rsidRPr="00A0575B" w:rsidRDefault="00C121D1" w:rsidP="00794753">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n-GB" w:eastAsia="de-DE"/>
              </w:rPr>
            </w:pPr>
          </w:p>
        </w:tc>
      </w:tr>
      <w:tr w:rsidR="00721F29" w:rsidRPr="00102605" w14:paraId="0CDB13F7" w14:textId="77777777" w:rsidTr="00C121D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0D87AB6D"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Panama</w:t>
            </w:r>
          </w:p>
        </w:tc>
        <w:tc>
          <w:tcPr>
            <w:tcW w:w="1576" w:type="dxa"/>
            <w:shd w:val="clear" w:color="auto" w:fill="FFFFFF" w:themeFill="background1"/>
            <w:noWrap/>
            <w:hideMark/>
          </w:tcPr>
          <w:p w14:paraId="28C82048"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Units</w:t>
            </w:r>
          </w:p>
        </w:tc>
        <w:tc>
          <w:tcPr>
            <w:tcW w:w="1035" w:type="dxa"/>
            <w:shd w:val="clear" w:color="auto" w:fill="FFFFFF" w:themeFill="background1"/>
            <w:noWrap/>
            <w:hideMark/>
          </w:tcPr>
          <w:p w14:paraId="208B4007"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no.</w:t>
            </w:r>
          </w:p>
        </w:tc>
        <w:tc>
          <w:tcPr>
            <w:tcW w:w="1035" w:type="dxa"/>
            <w:shd w:val="clear" w:color="auto" w:fill="FFFFFF" w:themeFill="background1"/>
            <w:noWrap/>
            <w:hideMark/>
          </w:tcPr>
          <w:p w14:paraId="1924062A" w14:textId="1EE3B2CF"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150</w:t>
            </w:r>
          </w:p>
        </w:tc>
        <w:tc>
          <w:tcPr>
            <w:tcW w:w="1035" w:type="dxa"/>
            <w:shd w:val="clear" w:color="auto" w:fill="FFFFFF" w:themeFill="background1"/>
            <w:noWrap/>
            <w:hideMark/>
          </w:tcPr>
          <w:p w14:paraId="16652CD6" w14:textId="204F605B"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400</w:t>
            </w:r>
          </w:p>
        </w:tc>
        <w:tc>
          <w:tcPr>
            <w:tcW w:w="1035" w:type="dxa"/>
            <w:shd w:val="clear" w:color="auto" w:fill="FFFFFF" w:themeFill="background1"/>
            <w:noWrap/>
            <w:hideMark/>
          </w:tcPr>
          <w:p w14:paraId="4275D453" w14:textId="20303C88"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50</w:t>
            </w:r>
          </w:p>
        </w:tc>
        <w:tc>
          <w:tcPr>
            <w:tcW w:w="1035" w:type="dxa"/>
            <w:shd w:val="clear" w:color="auto" w:fill="FFFFFF" w:themeFill="background1"/>
            <w:noWrap/>
            <w:hideMark/>
          </w:tcPr>
          <w:p w14:paraId="3D5F520A" w14:textId="758EED18"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600</w:t>
            </w:r>
          </w:p>
        </w:tc>
      </w:tr>
      <w:tr w:rsidR="00721F29" w:rsidRPr="00102605" w14:paraId="16F9E298" w14:textId="77777777" w:rsidTr="00C121D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4B99A566"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FFFFFF" w:themeFill="background1"/>
            <w:noWrap/>
            <w:hideMark/>
          </w:tcPr>
          <w:p w14:paraId="606B1C82"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ER lifespan per EV</w:t>
            </w:r>
          </w:p>
        </w:tc>
        <w:tc>
          <w:tcPr>
            <w:tcW w:w="1035" w:type="dxa"/>
            <w:shd w:val="clear" w:color="auto" w:fill="FFFFFF" w:themeFill="background1"/>
            <w:noWrap/>
            <w:hideMark/>
          </w:tcPr>
          <w:p w14:paraId="08319AFF"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shd w:val="clear" w:color="auto" w:fill="FFFFFF" w:themeFill="background1"/>
            <w:noWrap/>
            <w:hideMark/>
          </w:tcPr>
          <w:p w14:paraId="7213CE19" w14:textId="072A9AB2"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7</w:t>
            </w:r>
          </w:p>
        </w:tc>
        <w:tc>
          <w:tcPr>
            <w:tcW w:w="1035" w:type="dxa"/>
            <w:shd w:val="clear" w:color="auto" w:fill="FFFFFF" w:themeFill="background1"/>
            <w:noWrap/>
            <w:hideMark/>
          </w:tcPr>
          <w:p w14:paraId="4E216F2A" w14:textId="087D6493"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0,10</w:t>
            </w:r>
          </w:p>
        </w:tc>
        <w:tc>
          <w:tcPr>
            <w:tcW w:w="1035" w:type="dxa"/>
            <w:shd w:val="clear" w:color="auto" w:fill="FFFFFF" w:themeFill="background1"/>
            <w:noWrap/>
            <w:hideMark/>
          </w:tcPr>
          <w:p w14:paraId="73B27A31" w14:textId="4D8820EF"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0,10</w:t>
            </w:r>
          </w:p>
        </w:tc>
        <w:tc>
          <w:tcPr>
            <w:tcW w:w="1035" w:type="dxa"/>
            <w:shd w:val="clear" w:color="auto" w:fill="FFFFFF" w:themeFill="background1"/>
            <w:noWrap/>
            <w:hideMark/>
          </w:tcPr>
          <w:p w14:paraId="2106A523" w14:textId="77777777"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p>
        </w:tc>
      </w:tr>
      <w:tr w:rsidR="00721F29" w:rsidRPr="00102605" w14:paraId="3DA4CF2B" w14:textId="77777777" w:rsidTr="00C121D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0B76A183"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FFFFFF" w:themeFill="background1"/>
            <w:noWrap/>
            <w:hideMark/>
          </w:tcPr>
          <w:p w14:paraId="611ECC38" w14:textId="4933B861"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 xml:space="preserve">Total ER </w:t>
            </w:r>
            <w:proofErr w:type="spellStart"/>
            <w:r w:rsidRPr="00A0575B">
              <w:rPr>
                <w:rFonts w:cs="Arial"/>
                <w:color w:val="000000"/>
                <w:sz w:val="18"/>
                <w:szCs w:val="18"/>
                <w:lang w:val="en-GB" w:eastAsia="de-DE"/>
              </w:rPr>
              <w:t>N</w:t>
            </w:r>
            <w:r w:rsidR="005914EB" w:rsidRPr="00A0575B">
              <w:rPr>
                <w:rFonts w:cs="Arial"/>
                <w:color w:val="000000"/>
                <w:sz w:val="18"/>
                <w:szCs w:val="18"/>
                <w:lang w:val="en-GB" w:eastAsia="de-DE"/>
              </w:rPr>
              <w:t>o</w:t>
            </w:r>
            <w:r w:rsidRPr="00A0575B">
              <w:rPr>
                <w:rFonts w:cs="Arial"/>
                <w:color w:val="000000"/>
                <w:sz w:val="18"/>
                <w:szCs w:val="18"/>
                <w:lang w:val="en-GB" w:eastAsia="de-DE"/>
              </w:rPr>
              <w:t>x</w:t>
            </w:r>
            <w:proofErr w:type="spellEnd"/>
          </w:p>
        </w:tc>
        <w:tc>
          <w:tcPr>
            <w:tcW w:w="1035" w:type="dxa"/>
            <w:shd w:val="clear" w:color="auto" w:fill="FFFFFF" w:themeFill="background1"/>
            <w:noWrap/>
            <w:hideMark/>
          </w:tcPr>
          <w:p w14:paraId="758D71EF"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shd w:val="clear" w:color="auto" w:fill="FFFFFF" w:themeFill="background1"/>
            <w:noWrap/>
            <w:hideMark/>
          </w:tcPr>
          <w:p w14:paraId="4E58C5C0" w14:textId="7A64603D"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1.050 </w:t>
            </w:r>
          </w:p>
        </w:tc>
        <w:tc>
          <w:tcPr>
            <w:tcW w:w="1035" w:type="dxa"/>
            <w:shd w:val="clear" w:color="auto" w:fill="FFFFFF" w:themeFill="background1"/>
            <w:noWrap/>
            <w:hideMark/>
          </w:tcPr>
          <w:p w14:paraId="2EA3E6AB" w14:textId="77CD082E"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40 </w:t>
            </w:r>
          </w:p>
        </w:tc>
        <w:tc>
          <w:tcPr>
            <w:tcW w:w="1035" w:type="dxa"/>
            <w:shd w:val="clear" w:color="auto" w:fill="FFFFFF" w:themeFill="background1"/>
            <w:noWrap/>
            <w:hideMark/>
          </w:tcPr>
          <w:p w14:paraId="60D4F1EE" w14:textId="0FBFCF04"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5 </w:t>
            </w:r>
          </w:p>
        </w:tc>
        <w:tc>
          <w:tcPr>
            <w:tcW w:w="1035" w:type="dxa"/>
            <w:shd w:val="clear" w:color="auto" w:fill="FFFFFF" w:themeFill="background1"/>
            <w:noWrap/>
            <w:hideMark/>
          </w:tcPr>
          <w:p w14:paraId="6452200F" w14:textId="4C757B22"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1.095 </w:t>
            </w:r>
          </w:p>
        </w:tc>
      </w:tr>
      <w:tr w:rsidR="00721F29" w:rsidRPr="00102605" w14:paraId="5F08B8C8" w14:textId="77777777" w:rsidTr="00C121D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76AC77CA"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Paraguay</w:t>
            </w:r>
          </w:p>
        </w:tc>
        <w:tc>
          <w:tcPr>
            <w:tcW w:w="1576" w:type="dxa"/>
            <w:shd w:val="clear" w:color="auto" w:fill="EDEDED" w:themeFill="accent3" w:themeFillTint="33"/>
            <w:noWrap/>
            <w:hideMark/>
          </w:tcPr>
          <w:p w14:paraId="517C720C"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Units</w:t>
            </w:r>
          </w:p>
        </w:tc>
        <w:tc>
          <w:tcPr>
            <w:tcW w:w="1035" w:type="dxa"/>
            <w:shd w:val="clear" w:color="auto" w:fill="EDEDED" w:themeFill="accent3" w:themeFillTint="33"/>
            <w:noWrap/>
            <w:hideMark/>
          </w:tcPr>
          <w:p w14:paraId="2E302554"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no.</w:t>
            </w:r>
          </w:p>
        </w:tc>
        <w:tc>
          <w:tcPr>
            <w:tcW w:w="1035" w:type="dxa"/>
            <w:shd w:val="clear" w:color="auto" w:fill="EDEDED" w:themeFill="accent3" w:themeFillTint="33"/>
            <w:noWrap/>
            <w:hideMark/>
          </w:tcPr>
          <w:p w14:paraId="0814E1BC" w14:textId="5201A769"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300</w:t>
            </w:r>
          </w:p>
        </w:tc>
        <w:tc>
          <w:tcPr>
            <w:tcW w:w="1035" w:type="dxa"/>
            <w:shd w:val="clear" w:color="auto" w:fill="EDEDED" w:themeFill="accent3" w:themeFillTint="33"/>
            <w:noWrap/>
            <w:hideMark/>
          </w:tcPr>
          <w:p w14:paraId="29DEBDC7" w14:textId="24803BBE"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300</w:t>
            </w:r>
          </w:p>
        </w:tc>
        <w:tc>
          <w:tcPr>
            <w:tcW w:w="1035" w:type="dxa"/>
            <w:shd w:val="clear" w:color="auto" w:fill="EDEDED" w:themeFill="accent3" w:themeFillTint="33"/>
            <w:noWrap/>
            <w:hideMark/>
          </w:tcPr>
          <w:p w14:paraId="61234B64" w14:textId="66809E45"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100</w:t>
            </w:r>
          </w:p>
        </w:tc>
        <w:tc>
          <w:tcPr>
            <w:tcW w:w="1035" w:type="dxa"/>
            <w:shd w:val="clear" w:color="auto" w:fill="EDEDED" w:themeFill="accent3" w:themeFillTint="33"/>
            <w:noWrap/>
            <w:hideMark/>
          </w:tcPr>
          <w:p w14:paraId="22101BD7" w14:textId="6F44AA62"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700</w:t>
            </w:r>
          </w:p>
        </w:tc>
      </w:tr>
      <w:tr w:rsidR="00721F29" w:rsidRPr="00102605" w14:paraId="03CA7C2E" w14:textId="77777777" w:rsidTr="00C121D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6CA5BAE7"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EDEDED" w:themeFill="accent3" w:themeFillTint="33"/>
            <w:noWrap/>
            <w:hideMark/>
          </w:tcPr>
          <w:p w14:paraId="2D001F7D"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ER lifespan per EV</w:t>
            </w:r>
          </w:p>
        </w:tc>
        <w:tc>
          <w:tcPr>
            <w:tcW w:w="1035" w:type="dxa"/>
            <w:shd w:val="clear" w:color="auto" w:fill="EDEDED" w:themeFill="accent3" w:themeFillTint="33"/>
            <w:noWrap/>
            <w:hideMark/>
          </w:tcPr>
          <w:p w14:paraId="78C4C3B7"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shd w:val="clear" w:color="auto" w:fill="EDEDED" w:themeFill="accent3" w:themeFillTint="33"/>
            <w:noWrap/>
            <w:hideMark/>
          </w:tcPr>
          <w:p w14:paraId="2F95445C" w14:textId="38497254"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6</w:t>
            </w:r>
          </w:p>
        </w:tc>
        <w:tc>
          <w:tcPr>
            <w:tcW w:w="1035" w:type="dxa"/>
            <w:shd w:val="clear" w:color="auto" w:fill="EDEDED" w:themeFill="accent3" w:themeFillTint="33"/>
            <w:noWrap/>
            <w:hideMark/>
          </w:tcPr>
          <w:p w14:paraId="30099D4B" w14:textId="74B3DCC0"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0,10</w:t>
            </w:r>
          </w:p>
        </w:tc>
        <w:tc>
          <w:tcPr>
            <w:tcW w:w="1035" w:type="dxa"/>
            <w:shd w:val="clear" w:color="auto" w:fill="EDEDED" w:themeFill="accent3" w:themeFillTint="33"/>
            <w:noWrap/>
            <w:hideMark/>
          </w:tcPr>
          <w:p w14:paraId="7BE417D7" w14:textId="3328A298"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0,10</w:t>
            </w:r>
          </w:p>
        </w:tc>
        <w:tc>
          <w:tcPr>
            <w:tcW w:w="1035" w:type="dxa"/>
            <w:shd w:val="clear" w:color="auto" w:fill="EDEDED" w:themeFill="accent3" w:themeFillTint="33"/>
            <w:noWrap/>
            <w:hideMark/>
          </w:tcPr>
          <w:p w14:paraId="78738BE3" w14:textId="77777777"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p>
        </w:tc>
      </w:tr>
      <w:tr w:rsidR="00721F29" w:rsidRPr="00102605" w14:paraId="5B9A3D5F" w14:textId="77777777" w:rsidTr="00C121D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0A0A95CE"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EDEDED" w:themeFill="accent3" w:themeFillTint="33"/>
            <w:noWrap/>
            <w:hideMark/>
          </w:tcPr>
          <w:p w14:paraId="5321AFF0" w14:textId="75FFD63C"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 xml:space="preserve">Total ER </w:t>
            </w:r>
            <w:proofErr w:type="spellStart"/>
            <w:r w:rsidRPr="00A0575B">
              <w:rPr>
                <w:rFonts w:cs="Arial"/>
                <w:color w:val="000000"/>
                <w:sz w:val="18"/>
                <w:szCs w:val="18"/>
                <w:lang w:val="en-GB" w:eastAsia="de-DE"/>
              </w:rPr>
              <w:t>N</w:t>
            </w:r>
            <w:r w:rsidR="005914EB" w:rsidRPr="00A0575B">
              <w:rPr>
                <w:rFonts w:cs="Arial"/>
                <w:color w:val="000000"/>
                <w:sz w:val="18"/>
                <w:szCs w:val="18"/>
                <w:lang w:val="en-GB" w:eastAsia="de-DE"/>
              </w:rPr>
              <w:t>o</w:t>
            </w:r>
            <w:r w:rsidRPr="00A0575B">
              <w:rPr>
                <w:rFonts w:cs="Arial"/>
                <w:color w:val="000000"/>
                <w:sz w:val="18"/>
                <w:szCs w:val="18"/>
                <w:lang w:val="en-GB" w:eastAsia="de-DE"/>
              </w:rPr>
              <w:t>x</w:t>
            </w:r>
            <w:proofErr w:type="spellEnd"/>
          </w:p>
        </w:tc>
        <w:tc>
          <w:tcPr>
            <w:tcW w:w="1035" w:type="dxa"/>
            <w:shd w:val="clear" w:color="auto" w:fill="EDEDED" w:themeFill="accent3" w:themeFillTint="33"/>
            <w:noWrap/>
            <w:hideMark/>
          </w:tcPr>
          <w:p w14:paraId="4E677B8E"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shd w:val="clear" w:color="auto" w:fill="EDEDED" w:themeFill="accent3" w:themeFillTint="33"/>
            <w:noWrap/>
            <w:hideMark/>
          </w:tcPr>
          <w:p w14:paraId="72FBC99B" w14:textId="38F269FA"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1.800 </w:t>
            </w:r>
          </w:p>
        </w:tc>
        <w:tc>
          <w:tcPr>
            <w:tcW w:w="1035" w:type="dxa"/>
            <w:shd w:val="clear" w:color="auto" w:fill="EDEDED" w:themeFill="accent3" w:themeFillTint="33"/>
            <w:noWrap/>
            <w:hideMark/>
          </w:tcPr>
          <w:p w14:paraId="75B7077A" w14:textId="46D85D9B"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30 </w:t>
            </w:r>
          </w:p>
        </w:tc>
        <w:tc>
          <w:tcPr>
            <w:tcW w:w="1035" w:type="dxa"/>
            <w:shd w:val="clear" w:color="auto" w:fill="EDEDED" w:themeFill="accent3" w:themeFillTint="33"/>
            <w:noWrap/>
            <w:hideMark/>
          </w:tcPr>
          <w:p w14:paraId="09A6D327" w14:textId="758BEF94"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10 </w:t>
            </w:r>
          </w:p>
        </w:tc>
        <w:tc>
          <w:tcPr>
            <w:tcW w:w="1035" w:type="dxa"/>
            <w:shd w:val="clear" w:color="auto" w:fill="EDEDED" w:themeFill="accent3" w:themeFillTint="33"/>
            <w:noWrap/>
            <w:hideMark/>
          </w:tcPr>
          <w:p w14:paraId="5FFF2E25" w14:textId="1472ECAA"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1.840 </w:t>
            </w:r>
          </w:p>
        </w:tc>
      </w:tr>
      <w:tr w:rsidR="00721F29" w:rsidRPr="00102605" w14:paraId="519D2359" w14:textId="77777777" w:rsidTr="00C121D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47314FFC"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Uruguay</w:t>
            </w:r>
          </w:p>
        </w:tc>
        <w:tc>
          <w:tcPr>
            <w:tcW w:w="1576" w:type="dxa"/>
            <w:shd w:val="clear" w:color="auto" w:fill="FFFFFF" w:themeFill="background1"/>
            <w:noWrap/>
            <w:hideMark/>
          </w:tcPr>
          <w:p w14:paraId="49D654A8"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Units</w:t>
            </w:r>
          </w:p>
        </w:tc>
        <w:tc>
          <w:tcPr>
            <w:tcW w:w="1035" w:type="dxa"/>
            <w:shd w:val="clear" w:color="auto" w:fill="FFFFFF" w:themeFill="background1"/>
            <w:noWrap/>
            <w:hideMark/>
          </w:tcPr>
          <w:p w14:paraId="3E7A9044"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no.</w:t>
            </w:r>
          </w:p>
        </w:tc>
        <w:tc>
          <w:tcPr>
            <w:tcW w:w="1035" w:type="dxa"/>
            <w:shd w:val="clear" w:color="auto" w:fill="FFFFFF" w:themeFill="background1"/>
            <w:noWrap/>
            <w:hideMark/>
          </w:tcPr>
          <w:p w14:paraId="7EFD555E" w14:textId="17EDFED1"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200</w:t>
            </w:r>
          </w:p>
        </w:tc>
        <w:tc>
          <w:tcPr>
            <w:tcW w:w="1035" w:type="dxa"/>
            <w:shd w:val="clear" w:color="auto" w:fill="FFFFFF" w:themeFill="background1"/>
            <w:noWrap/>
            <w:hideMark/>
          </w:tcPr>
          <w:p w14:paraId="2253B8A2" w14:textId="20554F3A"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200</w:t>
            </w:r>
          </w:p>
        </w:tc>
        <w:tc>
          <w:tcPr>
            <w:tcW w:w="1035" w:type="dxa"/>
            <w:shd w:val="clear" w:color="auto" w:fill="FFFFFF" w:themeFill="background1"/>
            <w:noWrap/>
            <w:hideMark/>
          </w:tcPr>
          <w:p w14:paraId="00DEDA33" w14:textId="03CD1980"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100</w:t>
            </w:r>
          </w:p>
        </w:tc>
        <w:tc>
          <w:tcPr>
            <w:tcW w:w="1035" w:type="dxa"/>
            <w:shd w:val="clear" w:color="auto" w:fill="FFFFFF" w:themeFill="background1"/>
            <w:noWrap/>
            <w:hideMark/>
          </w:tcPr>
          <w:p w14:paraId="0065849D" w14:textId="6E57E42B"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500</w:t>
            </w:r>
          </w:p>
        </w:tc>
      </w:tr>
      <w:tr w:rsidR="00721F29" w:rsidRPr="00102605" w14:paraId="2B31BBFF" w14:textId="77777777" w:rsidTr="00C121D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1461E809"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FFFFFF" w:themeFill="background1"/>
            <w:noWrap/>
            <w:hideMark/>
          </w:tcPr>
          <w:p w14:paraId="0B0F4F0E"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ER lifespan per EV</w:t>
            </w:r>
          </w:p>
        </w:tc>
        <w:tc>
          <w:tcPr>
            <w:tcW w:w="1035" w:type="dxa"/>
            <w:shd w:val="clear" w:color="auto" w:fill="FFFFFF" w:themeFill="background1"/>
            <w:noWrap/>
            <w:hideMark/>
          </w:tcPr>
          <w:p w14:paraId="65587EE3"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shd w:val="clear" w:color="auto" w:fill="FFFFFF" w:themeFill="background1"/>
            <w:noWrap/>
            <w:hideMark/>
          </w:tcPr>
          <w:p w14:paraId="0F08AA27" w14:textId="3CD926F4"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6</w:t>
            </w:r>
          </w:p>
        </w:tc>
        <w:tc>
          <w:tcPr>
            <w:tcW w:w="1035" w:type="dxa"/>
            <w:shd w:val="clear" w:color="auto" w:fill="FFFFFF" w:themeFill="background1"/>
            <w:noWrap/>
            <w:hideMark/>
          </w:tcPr>
          <w:p w14:paraId="3A916797" w14:textId="71B836AE"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0,09</w:t>
            </w:r>
          </w:p>
        </w:tc>
        <w:tc>
          <w:tcPr>
            <w:tcW w:w="1035" w:type="dxa"/>
            <w:shd w:val="clear" w:color="auto" w:fill="FFFFFF" w:themeFill="background1"/>
            <w:noWrap/>
            <w:hideMark/>
          </w:tcPr>
          <w:p w14:paraId="773FD0F0" w14:textId="43169B76"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0,09</w:t>
            </w:r>
          </w:p>
        </w:tc>
        <w:tc>
          <w:tcPr>
            <w:tcW w:w="1035" w:type="dxa"/>
            <w:shd w:val="clear" w:color="auto" w:fill="FFFFFF" w:themeFill="background1"/>
            <w:noWrap/>
            <w:hideMark/>
          </w:tcPr>
          <w:p w14:paraId="663F7328" w14:textId="77777777"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p>
        </w:tc>
      </w:tr>
      <w:tr w:rsidR="00721F29" w:rsidRPr="00102605" w14:paraId="4549ABAB" w14:textId="77777777" w:rsidTr="00C121D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tcBorders>
              <w:bottom w:val="single" w:sz="4" w:space="0" w:color="auto"/>
            </w:tcBorders>
            <w:shd w:val="clear" w:color="auto" w:fill="FFFFFF" w:themeFill="background1"/>
            <w:noWrap/>
            <w:hideMark/>
          </w:tcPr>
          <w:p w14:paraId="2E05DFC8"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tcBorders>
              <w:bottom w:val="single" w:sz="4" w:space="0" w:color="auto"/>
            </w:tcBorders>
            <w:shd w:val="clear" w:color="auto" w:fill="FFFFFF" w:themeFill="background1"/>
            <w:noWrap/>
            <w:hideMark/>
          </w:tcPr>
          <w:p w14:paraId="3266D3B3" w14:textId="66368232"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 xml:space="preserve">Total ER </w:t>
            </w:r>
            <w:proofErr w:type="spellStart"/>
            <w:r w:rsidRPr="00A0575B">
              <w:rPr>
                <w:rFonts w:cs="Arial"/>
                <w:color w:val="000000"/>
                <w:sz w:val="18"/>
                <w:szCs w:val="18"/>
                <w:lang w:val="en-GB" w:eastAsia="de-DE"/>
              </w:rPr>
              <w:t>N</w:t>
            </w:r>
            <w:r w:rsidR="005914EB" w:rsidRPr="00A0575B">
              <w:rPr>
                <w:rFonts w:cs="Arial"/>
                <w:color w:val="000000"/>
                <w:sz w:val="18"/>
                <w:szCs w:val="18"/>
                <w:lang w:val="en-GB" w:eastAsia="de-DE"/>
              </w:rPr>
              <w:t>o</w:t>
            </w:r>
            <w:r w:rsidRPr="00A0575B">
              <w:rPr>
                <w:rFonts w:cs="Arial"/>
                <w:color w:val="000000"/>
                <w:sz w:val="18"/>
                <w:szCs w:val="18"/>
                <w:lang w:val="en-GB" w:eastAsia="de-DE"/>
              </w:rPr>
              <w:t>x</w:t>
            </w:r>
            <w:proofErr w:type="spellEnd"/>
          </w:p>
        </w:tc>
        <w:tc>
          <w:tcPr>
            <w:tcW w:w="1035" w:type="dxa"/>
            <w:tcBorders>
              <w:bottom w:val="single" w:sz="4" w:space="0" w:color="auto"/>
            </w:tcBorders>
            <w:shd w:val="clear" w:color="auto" w:fill="FFFFFF" w:themeFill="background1"/>
            <w:noWrap/>
            <w:hideMark/>
          </w:tcPr>
          <w:p w14:paraId="2DD43DEA"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t</w:t>
            </w:r>
          </w:p>
        </w:tc>
        <w:tc>
          <w:tcPr>
            <w:tcW w:w="1035" w:type="dxa"/>
            <w:tcBorders>
              <w:bottom w:val="single" w:sz="4" w:space="0" w:color="auto"/>
            </w:tcBorders>
            <w:shd w:val="clear" w:color="auto" w:fill="FFFFFF" w:themeFill="background1"/>
            <w:noWrap/>
            <w:hideMark/>
          </w:tcPr>
          <w:p w14:paraId="42580337" w14:textId="5556C739"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1.119 </w:t>
            </w:r>
          </w:p>
        </w:tc>
        <w:tc>
          <w:tcPr>
            <w:tcW w:w="1035" w:type="dxa"/>
            <w:tcBorders>
              <w:bottom w:val="single" w:sz="4" w:space="0" w:color="auto"/>
            </w:tcBorders>
            <w:shd w:val="clear" w:color="auto" w:fill="FFFFFF" w:themeFill="background1"/>
            <w:noWrap/>
            <w:hideMark/>
          </w:tcPr>
          <w:p w14:paraId="5E7A8386" w14:textId="7D25A8E0"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17 </w:t>
            </w:r>
          </w:p>
        </w:tc>
        <w:tc>
          <w:tcPr>
            <w:tcW w:w="1035" w:type="dxa"/>
            <w:tcBorders>
              <w:bottom w:val="single" w:sz="4" w:space="0" w:color="auto"/>
            </w:tcBorders>
            <w:shd w:val="clear" w:color="auto" w:fill="FFFFFF" w:themeFill="background1"/>
            <w:noWrap/>
            <w:hideMark/>
          </w:tcPr>
          <w:p w14:paraId="1D1499D4" w14:textId="28CC8B0B"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9 </w:t>
            </w:r>
          </w:p>
        </w:tc>
        <w:tc>
          <w:tcPr>
            <w:tcW w:w="1035" w:type="dxa"/>
            <w:tcBorders>
              <w:bottom w:val="single" w:sz="4" w:space="0" w:color="auto"/>
            </w:tcBorders>
            <w:shd w:val="clear" w:color="auto" w:fill="FFFFFF" w:themeFill="background1"/>
            <w:noWrap/>
            <w:hideMark/>
          </w:tcPr>
          <w:p w14:paraId="3A5E0DF1" w14:textId="49FEED9A"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 xml:space="preserve"> 1.144 </w:t>
            </w:r>
          </w:p>
        </w:tc>
      </w:tr>
      <w:tr w:rsidR="00721F29" w:rsidRPr="00102605" w14:paraId="1409838E" w14:textId="77777777" w:rsidTr="00C121D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tcBorders>
              <w:top w:val="single" w:sz="4" w:space="0" w:color="auto"/>
            </w:tcBorders>
            <w:shd w:val="clear" w:color="auto" w:fill="C9C9C9" w:themeFill="accent3" w:themeFillTint="99"/>
            <w:noWrap/>
            <w:hideMark/>
          </w:tcPr>
          <w:p w14:paraId="364BA626"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Total</w:t>
            </w:r>
          </w:p>
        </w:tc>
        <w:tc>
          <w:tcPr>
            <w:tcW w:w="1576" w:type="dxa"/>
            <w:tcBorders>
              <w:top w:val="single" w:sz="4" w:space="0" w:color="auto"/>
            </w:tcBorders>
            <w:shd w:val="clear" w:color="auto" w:fill="C9C9C9" w:themeFill="accent3" w:themeFillTint="99"/>
            <w:noWrap/>
            <w:hideMark/>
          </w:tcPr>
          <w:p w14:paraId="0F31D048"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Units</w:t>
            </w:r>
          </w:p>
        </w:tc>
        <w:tc>
          <w:tcPr>
            <w:tcW w:w="1035" w:type="dxa"/>
            <w:tcBorders>
              <w:top w:val="single" w:sz="4" w:space="0" w:color="auto"/>
            </w:tcBorders>
            <w:shd w:val="clear" w:color="auto" w:fill="C9C9C9" w:themeFill="accent3" w:themeFillTint="99"/>
            <w:noWrap/>
            <w:hideMark/>
          </w:tcPr>
          <w:p w14:paraId="051010C8" w14:textId="77777777" w:rsidR="00721F29" w:rsidRPr="00A0575B" w:rsidRDefault="00721F29" w:rsidP="00721F29">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color w:val="000000"/>
                <w:sz w:val="18"/>
                <w:szCs w:val="18"/>
                <w:lang w:val="en-GB" w:eastAsia="de-DE"/>
              </w:rPr>
              <w:t>no.</w:t>
            </w:r>
          </w:p>
        </w:tc>
        <w:tc>
          <w:tcPr>
            <w:tcW w:w="1035" w:type="dxa"/>
            <w:tcBorders>
              <w:top w:val="single" w:sz="4" w:space="0" w:color="auto"/>
            </w:tcBorders>
            <w:shd w:val="clear" w:color="auto" w:fill="C9C9C9" w:themeFill="accent3" w:themeFillTint="99"/>
            <w:noWrap/>
            <w:hideMark/>
          </w:tcPr>
          <w:p w14:paraId="54608C17" w14:textId="53EE0728"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650</w:t>
            </w:r>
          </w:p>
        </w:tc>
        <w:tc>
          <w:tcPr>
            <w:tcW w:w="1035" w:type="dxa"/>
            <w:tcBorders>
              <w:top w:val="single" w:sz="4" w:space="0" w:color="auto"/>
            </w:tcBorders>
            <w:shd w:val="clear" w:color="auto" w:fill="C9C9C9" w:themeFill="accent3" w:themeFillTint="99"/>
            <w:noWrap/>
            <w:hideMark/>
          </w:tcPr>
          <w:p w14:paraId="592F3847" w14:textId="6D957E0B"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900</w:t>
            </w:r>
          </w:p>
        </w:tc>
        <w:tc>
          <w:tcPr>
            <w:tcW w:w="1035" w:type="dxa"/>
            <w:tcBorders>
              <w:top w:val="single" w:sz="4" w:space="0" w:color="auto"/>
            </w:tcBorders>
            <w:shd w:val="clear" w:color="auto" w:fill="C9C9C9" w:themeFill="accent3" w:themeFillTint="99"/>
            <w:noWrap/>
            <w:hideMark/>
          </w:tcPr>
          <w:p w14:paraId="038EF375" w14:textId="1B115725"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250</w:t>
            </w:r>
          </w:p>
        </w:tc>
        <w:tc>
          <w:tcPr>
            <w:tcW w:w="1035" w:type="dxa"/>
            <w:tcBorders>
              <w:top w:val="single" w:sz="4" w:space="0" w:color="auto"/>
            </w:tcBorders>
            <w:shd w:val="clear" w:color="auto" w:fill="C9C9C9" w:themeFill="accent3" w:themeFillTint="99"/>
            <w:noWrap/>
            <w:hideMark/>
          </w:tcPr>
          <w:p w14:paraId="1E1E860E" w14:textId="0348F6B2" w:rsidR="00721F29" w:rsidRPr="00A0575B" w:rsidRDefault="00721F29" w:rsidP="00721F29">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n-GB" w:eastAsia="de-DE"/>
              </w:rPr>
            </w:pPr>
            <w:r w:rsidRPr="00A0575B">
              <w:rPr>
                <w:rFonts w:cs="Arial"/>
                <w:sz w:val="18"/>
                <w:szCs w:val="18"/>
                <w:lang w:val="en-GB"/>
              </w:rPr>
              <w:t>1800</w:t>
            </w:r>
          </w:p>
        </w:tc>
      </w:tr>
      <w:tr w:rsidR="00721F29" w:rsidRPr="00102605" w14:paraId="5815887E" w14:textId="77777777" w:rsidTr="00C121D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C9C9C9" w:themeFill="accent3" w:themeFillTint="99"/>
            <w:noWrap/>
            <w:hideMark/>
          </w:tcPr>
          <w:p w14:paraId="4C08A877" w14:textId="77777777" w:rsidR="00721F29" w:rsidRPr="00A0575B" w:rsidRDefault="00721F29" w:rsidP="00721F29">
            <w:pPr>
              <w:jc w:val="left"/>
              <w:rPr>
                <w:rFonts w:cs="Arial"/>
                <w:color w:val="000000"/>
                <w:sz w:val="18"/>
                <w:szCs w:val="18"/>
                <w:lang w:val="en-GB" w:eastAsia="de-DE"/>
              </w:rPr>
            </w:pPr>
            <w:r w:rsidRPr="00A0575B">
              <w:rPr>
                <w:rFonts w:cs="Arial"/>
                <w:color w:val="000000"/>
                <w:sz w:val="18"/>
                <w:szCs w:val="18"/>
                <w:lang w:val="en-GB" w:eastAsia="de-DE"/>
              </w:rPr>
              <w:t> </w:t>
            </w:r>
          </w:p>
        </w:tc>
        <w:tc>
          <w:tcPr>
            <w:tcW w:w="1576" w:type="dxa"/>
            <w:shd w:val="clear" w:color="auto" w:fill="C9C9C9" w:themeFill="accent3" w:themeFillTint="99"/>
            <w:noWrap/>
            <w:hideMark/>
          </w:tcPr>
          <w:p w14:paraId="0333BAD2" w14:textId="7796D05F"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color w:val="000000"/>
                <w:sz w:val="18"/>
                <w:szCs w:val="18"/>
                <w:lang w:val="en-GB" w:eastAsia="de-DE"/>
              </w:rPr>
              <w:t xml:space="preserve">Total ER </w:t>
            </w:r>
            <w:proofErr w:type="spellStart"/>
            <w:r w:rsidRPr="00A0575B">
              <w:rPr>
                <w:rFonts w:cs="Arial"/>
                <w:b/>
                <w:bCs/>
                <w:color w:val="000000"/>
                <w:sz w:val="18"/>
                <w:szCs w:val="18"/>
                <w:lang w:val="en-GB" w:eastAsia="de-DE"/>
              </w:rPr>
              <w:t>N</w:t>
            </w:r>
            <w:r w:rsidR="005914EB" w:rsidRPr="00A0575B">
              <w:rPr>
                <w:rFonts w:cs="Arial"/>
                <w:b/>
                <w:bCs/>
                <w:color w:val="000000"/>
                <w:sz w:val="18"/>
                <w:szCs w:val="18"/>
                <w:lang w:val="en-GB" w:eastAsia="de-DE"/>
              </w:rPr>
              <w:t>o</w:t>
            </w:r>
            <w:r w:rsidRPr="00A0575B">
              <w:rPr>
                <w:rFonts w:cs="Arial"/>
                <w:b/>
                <w:bCs/>
                <w:color w:val="000000"/>
                <w:sz w:val="18"/>
                <w:szCs w:val="18"/>
                <w:lang w:val="en-GB" w:eastAsia="de-DE"/>
              </w:rPr>
              <w:t>x</w:t>
            </w:r>
            <w:proofErr w:type="spellEnd"/>
          </w:p>
        </w:tc>
        <w:tc>
          <w:tcPr>
            <w:tcW w:w="1035" w:type="dxa"/>
            <w:shd w:val="clear" w:color="auto" w:fill="C9C9C9" w:themeFill="accent3" w:themeFillTint="99"/>
            <w:noWrap/>
            <w:hideMark/>
          </w:tcPr>
          <w:p w14:paraId="7292B8BE" w14:textId="77777777" w:rsidR="00721F29" w:rsidRPr="00A0575B" w:rsidRDefault="00721F29" w:rsidP="00721F29">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color w:val="000000"/>
                <w:sz w:val="18"/>
                <w:szCs w:val="18"/>
                <w:lang w:val="en-GB" w:eastAsia="de-DE"/>
              </w:rPr>
              <w:t>t</w:t>
            </w:r>
          </w:p>
        </w:tc>
        <w:tc>
          <w:tcPr>
            <w:tcW w:w="1035" w:type="dxa"/>
            <w:shd w:val="clear" w:color="auto" w:fill="C9C9C9" w:themeFill="accent3" w:themeFillTint="99"/>
            <w:noWrap/>
            <w:hideMark/>
          </w:tcPr>
          <w:p w14:paraId="01C6428C" w14:textId="212CAC62"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sz w:val="18"/>
                <w:szCs w:val="18"/>
                <w:lang w:val="en-GB"/>
              </w:rPr>
              <w:t xml:space="preserve"> 3.970 </w:t>
            </w:r>
          </w:p>
        </w:tc>
        <w:tc>
          <w:tcPr>
            <w:tcW w:w="1035" w:type="dxa"/>
            <w:shd w:val="clear" w:color="auto" w:fill="C9C9C9" w:themeFill="accent3" w:themeFillTint="99"/>
            <w:noWrap/>
            <w:hideMark/>
          </w:tcPr>
          <w:p w14:paraId="76518B24" w14:textId="49DDFB67"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sz w:val="18"/>
                <w:szCs w:val="18"/>
                <w:lang w:val="en-GB"/>
              </w:rPr>
              <w:t xml:space="preserve"> 90 </w:t>
            </w:r>
          </w:p>
        </w:tc>
        <w:tc>
          <w:tcPr>
            <w:tcW w:w="1035" w:type="dxa"/>
            <w:shd w:val="clear" w:color="auto" w:fill="C9C9C9" w:themeFill="accent3" w:themeFillTint="99"/>
            <w:noWrap/>
            <w:hideMark/>
          </w:tcPr>
          <w:p w14:paraId="3153CD6E" w14:textId="64027A0E"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sz w:val="18"/>
                <w:szCs w:val="18"/>
                <w:lang w:val="en-GB"/>
              </w:rPr>
              <w:t xml:space="preserve"> 20 </w:t>
            </w:r>
          </w:p>
        </w:tc>
        <w:tc>
          <w:tcPr>
            <w:tcW w:w="1035" w:type="dxa"/>
            <w:shd w:val="clear" w:color="auto" w:fill="C9C9C9" w:themeFill="accent3" w:themeFillTint="99"/>
            <w:noWrap/>
            <w:hideMark/>
          </w:tcPr>
          <w:p w14:paraId="76FCB76B" w14:textId="4E114A8B" w:rsidR="00721F29" w:rsidRPr="00A0575B" w:rsidRDefault="00721F29" w:rsidP="00721F2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n-GB" w:eastAsia="de-DE"/>
              </w:rPr>
            </w:pPr>
            <w:r w:rsidRPr="00A0575B">
              <w:rPr>
                <w:rFonts w:cs="Arial"/>
                <w:b/>
                <w:bCs/>
                <w:sz w:val="18"/>
                <w:szCs w:val="18"/>
                <w:lang w:val="en-GB"/>
              </w:rPr>
              <w:t xml:space="preserve"> 4.080 </w:t>
            </w:r>
          </w:p>
        </w:tc>
      </w:tr>
    </w:tbl>
    <w:p w14:paraId="4D223718" w14:textId="16CE5EC3" w:rsidR="004E4C8E" w:rsidRPr="00406472" w:rsidRDefault="004E4C8E" w:rsidP="00406472">
      <w:pPr>
        <w:spacing w:after="0" w:line="240" w:lineRule="auto"/>
        <w:jc w:val="center"/>
        <w:rPr>
          <w:i/>
          <w:iCs/>
          <w:sz w:val="18"/>
          <w:szCs w:val="18"/>
        </w:rPr>
      </w:pPr>
      <w:r w:rsidRPr="00406472">
        <w:rPr>
          <w:i/>
          <w:iCs/>
          <w:sz w:val="18"/>
          <w:szCs w:val="18"/>
        </w:rPr>
        <w:t xml:space="preserve">Source: </w:t>
      </w:r>
      <w:proofErr w:type="spellStart"/>
      <w:r w:rsidRPr="00406472">
        <w:rPr>
          <w:i/>
          <w:iCs/>
          <w:sz w:val="18"/>
          <w:szCs w:val="18"/>
        </w:rPr>
        <w:t>Hinico</w:t>
      </w:r>
      <w:proofErr w:type="spellEnd"/>
      <w:r w:rsidRPr="00406472">
        <w:rPr>
          <w:i/>
          <w:iCs/>
          <w:sz w:val="18"/>
          <w:szCs w:val="18"/>
        </w:rPr>
        <w:t xml:space="preserve"> / the </w:t>
      </w:r>
      <w:proofErr w:type="spellStart"/>
      <w:r w:rsidRPr="00406472">
        <w:rPr>
          <w:i/>
          <w:iCs/>
          <w:sz w:val="18"/>
          <w:szCs w:val="18"/>
        </w:rPr>
        <w:t>greenwerk</w:t>
      </w:r>
      <w:proofErr w:type="spellEnd"/>
      <w:r w:rsidRPr="00406472">
        <w:rPr>
          <w:i/>
          <w:iCs/>
          <w:sz w:val="18"/>
          <w:szCs w:val="18"/>
        </w:rPr>
        <w:t xml:space="preserve">, Feasibility Study, Report T5 Estimated Impacts of the </w:t>
      </w:r>
      <w:r w:rsidR="00F84CBB" w:rsidRPr="00406472">
        <w:rPr>
          <w:i/>
          <w:iCs/>
          <w:sz w:val="18"/>
          <w:szCs w:val="18"/>
        </w:rPr>
        <w:t>Sub-Program 2</w:t>
      </w:r>
      <w:r w:rsidRPr="00406472">
        <w:rPr>
          <w:i/>
          <w:iCs/>
          <w:sz w:val="18"/>
          <w:szCs w:val="18"/>
        </w:rPr>
        <w:t xml:space="preserve">, 2021 </w:t>
      </w:r>
    </w:p>
    <w:p w14:paraId="6F19E0DE" w14:textId="77777777" w:rsidR="00406472" w:rsidRDefault="00406472" w:rsidP="00406472">
      <w:pPr>
        <w:spacing w:after="0" w:line="240" w:lineRule="auto"/>
      </w:pPr>
    </w:p>
    <w:p w14:paraId="3C93F7B7" w14:textId="28A97778" w:rsidR="004E4C8E" w:rsidRDefault="004E4C8E" w:rsidP="00406472">
      <w:pPr>
        <w:spacing w:after="0" w:line="240" w:lineRule="auto"/>
      </w:pPr>
      <w:r w:rsidRPr="00102605">
        <w:t>E</w:t>
      </w:r>
      <w:r w:rsidR="000376FC">
        <w:t>V</w:t>
      </w:r>
      <w:r w:rsidRPr="00102605">
        <w:t>s are more energy</w:t>
      </w:r>
      <w:r w:rsidR="00CC5423" w:rsidRPr="00102605">
        <w:t>-</w:t>
      </w:r>
      <w:r w:rsidRPr="00102605">
        <w:t>efficient than fossil-</w:t>
      </w:r>
      <w:r w:rsidR="003F3E30" w:rsidRPr="00102605">
        <w:t>fuelled</w:t>
      </w:r>
      <w:r w:rsidRPr="00102605">
        <w:t xml:space="preserve"> vehicles and are powered by mainly renewable capacities (low grid emission factor) in the </w:t>
      </w:r>
      <w:r w:rsidR="00F84CBB" w:rsidRPr="00102605">
        <w:t>Sub-Program 2</w:t>
      </w:r>
      <w:r w:rsidRPr="00102605">
        <w:t xml:space="preserve"> countries. Hence, the direct fossil fuel savings resulting from the </w:t>
      </w:r>
      <w:r w:rsidR="00F84CBB" w:rsidRPr="00102605">
        <w:t>Sub-Program 2</w:t>
      </w:r>
      <w:r w:rsidRPr="00102605">
        <w:t xml:space="preserve"> (all countries) are estimated to r</w:t>
      </w:r>
      <w:r w:rsidR="004108D4" w:rsidRPr="00102605">
        <w:t>e</w:t>
      </w:r>
      <w:r w:rsidRPr="00102605">
        <w:t xml:space="preserve">ach up to </w:t>
      </w:r>
      <w:r w:rsidR="005A5F4E">
        <w:t>31</w:t>
      </w:r>
      <w:r w:rsidRPr="00102605">
        <w:t>,</w:t>
      </w:r>
      <w:r w:rsidR="005A5F4E">
        <w:t>4</w:t>
      </w:r>
      <w:r w:rsidRPr="00102605">
        <w:t xml:space="preserve">00 </w:t>
      </w:r>
      <w:r w:rsidR="00B80E70">
        <w:t>terajoule</w:t>
      </w:r>
      <w:r w:rsidR="00BE6187">
        <w:t xml:space="preserve"> (</w:t>
      </w:r>
      <w:r w:rsidRPr="00102605">
        <w:t>TJ</w:t>
      </w:r>
      <w:r w:rsidR="00BE6187">
        <w:t>)</w:t>
      </w:r>
      <w:r w:rsidRPr="00102605">
        <w:t xml:space="preserve"> over the lifetime of vehicles, which corresponds to direct fossil fuel savings of up to </w:t>
      </w:r>
      <w:r w:rsidR="0077548F">
        <w:t>920</w:t>
      </w:r>
      <w:r w:rsidRPr="00102605">
        <w:t xml:space="preserve"> million </w:t>
      </w:r>
      <w:r w:rsidR="003F3E30" w:rsidRPr="00102605">
        <w:t>litres</w:t>
      </w:r>
      <w:r w:rsidRPr="00102605">
        <w:t>.</w:t>
      </w:r>
    </w:p>
    <w:p w14:paraId="4AC5BEFB" w14:textId="77777777" w:rsidR="00406472" w:rsidRPr="00102605" w:rsidRDefault="00406472" w:rsidP="00406472">
      <w:pPr>
        <w:spacing w:after="0" w:line="240" w:lineRule="auto"/>
      </w:pPr>
    </w:p>
    <w:p w14:paraId="0B0248D1" w14:textId="5A360630" w:rsidR="004E4C8E" w:rsidRDefault="004E4C8E" w:rsidP="00406472">
      <w:pPr>
        <w:spacing w:after="0" w:line="240" w:lineRule="auto"/>
      </w:pPr>
      <w:r w:rsidRPr="00102605">
        <w:t>The COVID’19 pandemic has created an unprecedented challenge for many Latin American countries, from the health and economic perspectives, but it is also opening new opportunities for an accelerated sustainable transformation of its energy, transport, and urban landscapes, while contributing to economic recovery. A recent report prepared by the ILO shows that fostering electric mobility can have a significant positive job impact primarily due to the induced impact of savings of consumers on petrol and maintenance resulting in increased spending on goods with a high income elasticity which tend</w:t>
      </w:r>
      <w:r w:rsidR="00872C85" w:rsidRPr="00102605">
        <w:t>s</w:t>
      </w:r>
      <w:r w:rsidRPr="00102605">
        <w:t xml:space="preserve"> to be </w:t>
      </w:r>
      <w:r w:rsidR="003F3E30" w:rsidRPr="00102605">
        <w:t>labour</w:t>
      </w:r>
      <w:r w:rsidRPr="00102605">
        <w:t xml:space="preserve"> intensive service-goods</w:t>
      </w:r>
      <w:sdt>
        <w:sdtPr>
          <w:id w:val="2100356139"/>
          <w:citation/>
        </w:sdtPr>
        <w:sdtEndPr/>
        <w:sdtContent>
          <w:r w:rsidRPr="00102605">
            <w:fldChar w:fldCharType="begin"/>
          </w:r>
          <w:r w:rsidRPr="00102605">
            <w:instrText xml:space="preserve"> CITATION ILO201 \l 8192 </w:instrText>
          </w:r>
          <w:r w:rsidRPr="00102605">
            <w:fldChar w:fldCharType="separate"/>
          </w:r>
          <w:r w:rsidR="00F53171" w:rsidRPr="00102605">
            <w:t xml:space="preserve"> (ILO, 2020)</w:t>
          </w:r>
          <w:r w:rsidRPr="00102605">
            <w:fldChar w:fldCharType="end"/>
          </w:r>
        </w:sdtContent>
      </w:sdt>
      <w:r w:rsidRPr="00102605">
        <w:t xml:space="preserve">. A report </w:t>
      </w:r>
      <w:r w:rsidR="00127567" w:rsidRPr="00102605">
        <w:t xml:space="preserve">by </w:t>
      </w:r>
      <w:r w:rsidRPr="00102605">
        <w:t>McKinsey also reveals that with the COVID</w:t>
      </w:r>
      <w:r w:rsidR="00C50224" w:rsidRPr="00102605">
        <w:t>-19</w:t>
      </w:r>
      <w:r w:rsidRPr="00102605">
        <w:t xml:space="preserve"> pandemic the interest in </w:t>
      </w:r>
      <w:r w:rsidR="00143368">
        <w:t>EVs</w:t>
      </w:r>
      <w:r w:rsidRPr="00102605">
        <w:t xml:space="preserve"> has risen amongst customers </w:t>
      </w:r>
      <w:proofErr w:type="gramStart"/>
      <w:r w:rsidR="006714DF" w:rsidRPr="00102605">
        <w:t xml:space="preserve">as a result </w:t>
      </w:r>
      <w:r w:rsidR="007C1EEE" w:rsidRPr="00102605">
        <w:t>of</w:t>
      </w:r>
      <w:proofErr w:type="gramEnd"/>
      <w:r w:rsidR="007C1EEE" w:rsidRPr="00102605">
        <w:t xml:space="preserve"> raising awareness </w:t>
      </w:r>
      <w:r w:rsidR="00CE1F66" w:rsidRPr="00102605">
        <w:t xml:space="preserve">of </w:t>
      </w:r>
      <w:r w:rsidR="001D0A39" w:rsidRPr="00102605">
        <w:t xml:space="preserve">the negative impacts of fossil-based transport modes, once people </w:t>
      </w:r>
      <w:r w:rsidRPr="00102605">
        <w:t>suddenly being able to experience clean air during lockdowns</w:t>
      </w:r>
      <w:r w:rsidRPr="00102605">
        <w:rPr>
          <w:vertAlign w:val="superscript"/>
        </w:rPr>
        <w:footnoteReference w:id="30"/>
      </w:r>
      <w:r w:rsidRPr="00102605">
        <w:t>.</w:t>
      </w:r>
    </w:p>
    <w:p w14:paraId="70F3A590" w14:textId="77777777" w:rsidR="00406472" w:rsidRPr="00102605" w:rsidRDefault="00406472" w:rsidP="00406472">
      <w:pPr>
        <w:spacing w:after="0" w:line="240" w:lineRule="auto"/>
      </w:pPr>
    </w:p>
    <w:p w14:paraId="47832EC4" w14:textId="65984976" w:rsidR="00B8442C" w:rsidRDefault="004E4C8E" w:rsidP="00406472">
      <w:pPr>
        <w:spacing w:after="0" w:line="240" w:lineRule="auto"/>
      </w:pPr>
      <w:r w:rsidRPr="00102605">
        <w:t xml:space="preserve">The </w:t>
      </w:r>
      <w:r w:rsidR="00F84CBB" w:rsidRPr="00102605">
        <w:t>Sub-Program 2</w:t>
      </w:r>
      <w:r w:rsidRPr="00102605">
        <w:t xml:space="preserve"> contributes significantly to sustainable development goals (SDG) 3 (“good health and well-being”), SDG goal 7 (“affordable and clean energy”), SDG goal 9 (“industry, innovation and infrastructure”), SDG goal 11 (“sustainable cities and communities”), and SDG 13 (“climate action”).</w:t>
      </w:r>
    </w:p>
    <w:p w14:paraId="62873FA9" w14:textId="77777777" w:rsidR="00B8442C" w:rsidRDefault="00B8442C" w:rsidP="00406472">
      <w:pPr>
        <w:spacing w:after="0" w:line="240" w:lineRule="auto"/>
      </w:pPr>
    </w:p>
    <w:p w14:paraId="66262C5D" w14:textId="570FF3FE" w:rsidR="004E4C8E" w:rsidRPr="00102605" w:rsidRDefault="004E4C8E" w:rsidP="00E45BBC">
      <w:pPr>
        <w:pStyle w:val="Ttulo1"/>
        <w:numPr>
          <w:ilvl w:val="1"/>
          <w:numId w:val="1"/>
        </w:numPr>
        <w:spacing w:before="0" w:after="0" w:line="240" w:lineRule="auto"/>
        <w:ind w:left="567" w:hanging="567"/>
      </w:pPr>
      <w:bookmarkStart w:id="26" w:name="_Toc114152214"/>
      <w:r w:rsidRPr="00102605">
        <w:t>Potential adverse impacts</w:t>
      </w:r>
      <w:r w:rsidR="00BA7CF0">
        <w:t xml:space="preserve"> and mitigation measures</w:t>
      </w:r>
      <w:bookmarkEnd w:id="26"/>
    </w:p>
    <w:p w14:paraId="7799934A" w14:textId="77777777" w:rsidR="00E45BBC" w:rsidRDefault="00E45BBC" w:rsidP="00406472">
      <w:pPr>
        <w:spacing w:after="0" w:line="240" w:lineRule="auto"/>
      </w:pPr>
    </w:p>
    <w:p w14:paraId="221FD720" w14:textId="0431770F" w:rsidR="00BA5C2B" w:rsidRDefault="00BA5C2B" w:rsidP="00BA5C2B">
      <w:pPr>
        <w:spacing w:after="0" w:line="240" w:lineRule="auto"/>
      </w:pPr>
      <w:r>
        <w:t>The assessment of the potential risks and impacts that might arise from the implementation of the E-Motion Subprogram 2 are presented below</w:t>
      </w:r>
      <w:r w:rsidR="007B0701">
        <w:t xml:space="preserve">. </w:t>
      </w:r>
      <w:r>
        <w:t>The analysis was conducted considering the characteristics of the Program and the four components</w:t>
      </w:r>
      <w:r w:rsidR="007B0701">
        <w:t>, since the specific subprojects to be undertaken in each participating country will be defined at a later stage</w:t>
      </w:r>
      <w:r>
        <w:t>.</w:t>
      </w:r>
      <w:r w:rsidR="007B0701">
        <w:t xml:space="preserve"> Based on the severity of the potential impact, </w:t>
      </w:r>
      <w:r w:rsidR="00B47CD6">
        <w:t xml:space="preserve">general </w:t>
      </w:r>
      <w:r w:rsidR="007B0701">
        <w:t xml:space="preserve">mitigation measures are </w:t>
      </w:r>
      <w:r w:rsidR="00B47CD6">
        <w:t>proposed, which will be further detailed on specific Environmental and Social Management Plans that will be developed as part o</w:t>
      </w:r>
      <w:r w:rsidR="00DB67B3">
        <w:t>f</w:t>
      </w:r>
      <w:r w:rsidR="00B47CD6">
        <w:t xml:space="preserve"> each sub</w:t>
      </w:r>
      <w:r w:rsidR="00635CE6">
        <w:t>project</w:t>
      </w:r>
      <w:r w:rsidR="00B47CD6">
        <w:t>.</w:t>
      </w:r>
    </w:p>
    <w:p w14:paraId="0323D483" w14:textId="6AA87174" w:rsidR="00D71E71" w:rsidRDefault="00D71E71" w:rsidP="00406472">
      <w:pPr>
        <w:widowControl w:val="0"/>
        <w:tabs>
          <w:tab w:val="left" w:pos="720"/>
        </w:tabs>
        <w:autoSpaceDE w:val="0"/>
        <w:autoSpaceDN w:val="0"/>
        <w:spacing w:after="0" w:line="240" w:lineRule="auto"/>
        <w:ind w:right="-63"/>
      </w:pPr>
      <w:r w:rsidRPr="00102605">
        <w:t>The following table</w:t>
      </w:r>
      <w:r w:rsidR="00BC69D7">
        <w:t>s</w:t>
      </w:r>
      <w:r w:rsidRPr="00102605">
        <w:t xml:space="preserve"> provide </w:t>
      </w:r>
      <w:r w:rsidR="00BC69D7">
        <w:t>an analysis</w:t>
      </w:r>
      <w:r w:rsidR="00BC69D7" w:rsidRPr="00102605">
        <w:t xml:space="preserve"> </w:t>
      </w:r>
      <w:r w:rsidRPr="00102605">
        <w:t xml:space="preserve">of </w:t>
      </w:r>
      <w:r>
        <w:t xml:space="preserve">those potential </w:t>
      </w:r>
      <w:r w:rsidR="00BC69D7">
        <w:t xml:space="preserve">environmental, social </w:t>
      </w:r>
      <w:r>
        <w:t>adverse impacts</w:t>
      </w:r>
      <w:r w:rsidRPr="00102605">
        <w:t xml:space="preserve"> alon</w:t>
      </w:r>
      <w:r>
        <w:t xml:space="preserve">g with </w:t>
      </w:r>
      <w:r w:rsidRPr="00102605">
        <w:t>potential mitigation measures</w:t>
      </w:r>
      <w:r w:rsidR="00045C2F">
        <w:t xml:space="preserve"> related to the </w:t>
      </w:r>
      <w:r w:rsidR="00BC69D7">
        <w:t>components of the Sub-Program 2.</w:t>
      </w:r>
      <w:r w:rsidR="00045C2F" w:rsidRPr="00045C2F">
        <w:t xml:space="preserve"> Vehicles)</w:t>
      </w:r>
      <w:r w:rsidR="00045C2F">
        <w:t>.</w:t>
      </w:r>
    </w:p>
    <w:p w14:paraId="5B056450" w14:textId="77777777" w:rsidR="00B47CD6" w:rsidRDefault="00B47CD6" w:rsidP="00B47CD6">
      <w:pPr>
        <w:spacing w:after="0"/>
        <w:jc w:val="left"/>
      </w:pPr>
    </w:p>
    <w:p w14:paraId="4624F500" w14:textId="2F2AC609" w:rsidR="00E65A7C" w:rsidRDefault="00E65A7C" w:rsidP="00B47CD6">
      <w:pPr>
        <w:jc w:val="left"/>
      </w:pPr>
    </w:p>
    <w:p w14:paraId="76A891EE" w14:textId="77777777" w:rsidR="00B577C7" w:rsidRDefault="00B577C7" w:rsidP="00B47CD6">
      <w:pPr>
        <w:jc w:val="left"/>
      </w:pPr>
    </w:p>
    <w:p w14:paraId="7EC5058A" w14:textId="77777777" w:rsidR="00B577C7" w:rsidRDefault="00B577C7" w:rsidP="00B47CD6">
      <w:pPr>
        <w:jc w:val="left"/>
      </w:pPr>
    </w:p>
    <w:p w14:paraId="2E43FB4C" w14:textId="77777777" w:rsidR="00B577C7" w:rsidRDefault="00B577C7" w:rsidP="00B47CD6">
      <w:pPr>
        <w:jc w:val="left"/>
      </w:pPr>
    </w:p>
    <w:p w14:paraId="54DFE6FE" w14:textId="77777777" w:rsidR="00B577C7" w:rsidRDefault="00B577C7" w:rsidP="00B47CD6">
      <w:pPr>
        <w:jc w:val="left"/>
      </w:pPr>
    </w:p>
    <w:p w14:paraId="1598312A" w14:textId="77777777" w:rsidR="00B577C7" w:rsidRDefault="00B577C7" w:rsidP="00B47CD6">
      <w:pPr>
        <w:jc w:val="left"/>
      </w:pPr>
    </w:p>
    <w:p w14:paraId="26570FF7" w14:textId="77777777" w:rsidR="00B577C7" w:rsidRDefault="00B577C7" w:rsidP="00B47CD6">
      <w:pPr>
        <w:jc w:val="left"/>
      </w:pPr>
    </w:p>
    <w:p w14:paraId="72371CD5" w14:textId="77777777" w:rsidR="00B577C7" w:rsidRDefault="00B577C7" w:rsidP="00B47CD6">
      <w:pPr>
        <w:jc w:val="left"/>
      </w:pPr>
    </w:p>
    <w:p w14:paraId="647B9591" w14:textId="77777777" w:rsidR="00B577C7" w:rsidRDefault="00B577C7" w:rsidP="00B47CD6">
      <w:pPr>
        <w:jc w:val="left"/>
      </w:pPr>
    </w:p>
    <w:p w14:paraId="67BF62F5" w14:textId="77777777" w:rsidR="00B577C7" w:rsidRDefault="00B577C7" w:rsidP="00B47CD6">
      <w:pPr>
        <w:jc w:val="left"/>
      </w:pPr>
    </w:p>
    <w:p w14:paraId="38151C28" w14:textId="77777777" w:rsidR="00B577C7" w:rsidRDefault="00B577C7" w:rsidP="00B47CD6">
      <w:pPr>
        <w:jc w:val="left"/>
      </w:pPr>
    </w:p>
    <w:p w14:paraId="49090BE1" w14:textId="77777777" w:rsidR="00406472" w:rsidRPr="00102605" w:rsidRDefault="00406472" w:rsidP="00406472">
      <w:pPr>
        <w:spacing w:after="0" w:line="240" w:lineRule="auto"/>
      </w:pPr>
    </w:p>
    <w:p w14:paraId="1E3C95E8" w14:textId="2473619A" w:rsidR="00406472" w:rsidRDefault="00406472" w:rsidP="00406472">
      <w:pPr>
        <w:spacing w:after="0" w:line="240" w:lineRule="auto"/>
      </w:pPr>
    </w:p>
    <w:p w14:paraId="18DCFFDE" w14:textId="715093A1" w:rsidR="00072104" w:rsidRPr="00873187" w:rsidRDefault="00072104" w:rsidP="00406472">
      <w:pPr>
        <w:spacing w:after="0" w:line="240" w:lineRule="auto"/>
        <w:rPr>
          <w:lang w:val="en-US"/>
        </w:rPr>
      </w:pPr>
    </w:p>
    <w:p w14:paraId="3B3C793B" w14:textId="77777777" w:rsidR="00072104" w:rsidRPr="00873187" w:rsidRDefault="00072104" w:rsidP="00406472">
      <w:pPr>
        <w:spacing w:after="0" w:line="240" w:lineRule="auto"/>
        <w:rPr>
          <w:lang w:val="en-US"/>
        </w:rPr>
      </w:pPr>
    </w:p>
    <w:p w14:paraId="1CE5F9E2" w14:textId="77777777" w:rsidR="00B577C7" w:rsidRDefault="00B577C7" w:rsidP="00DF753A">
      <w:pPr>
        <w:spacing w:after="0"/>
        <w:sectPr w:rsidR="00B577C7" w:rsidSect="003245F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9" w:footer="709" w:gutter="0"/>
          <w:cols w:space="708"/>
          <w:titlePg/>
          <w:docGrid w:linePitch="360"/>
        </w:sectPr>
      </w:pPr>
    </w:p>
    <w:p w14:paraId="129D2C9C" w14:textId="413186F5" w:rsidR="00DF753A" w:rsidRDefault="00DF753A" w:rsidP="00DF753A">
      <w:pPr>
        <w:spacing w:after="0"/>
      </w:pPr>
      <w:r w:rsidRPr="00102605">
        <w:t xml:space="preserve">Table </w:t>
      </w:r>
      <w:r>
        <w:fldChar w:fldCharType="begin"/>
      </w:r>
      <w:r>
        <w:instrText>SEQ Table \* ARABIC</w:instrText>
      </w:r>
      <w:r>
        <w:fldChar w:fldCharType="separate"/>
      </w:r>
      <w:r>
        <w:rPr>
          <w:noProof/>
        </w:rPr>
        <w:t>9</w:t>
      </w:r>
      <w:r>
        <w:fldChar w:fldCharType="end"/>
      </w:r>
      <w:r w:rsidRPr="00102605">
        <w:t xml:space="preserve">: </w:t>
      </w:r>
      <w:r>
        <w:t xml:space="preserve">Potential adverse impacts and mitigation measures related to the deployment of e-bus fleets, e-public </w:t>
      </w:r>
      <w:proofErr w:type="gramStart"/>
      <w:r>
        <w:t>fleets</w:t>
      </w:r>
      <w:proofErr w:type="gramEnd"/>
      <w:r>
        <w:t xml:space="preserve"> and e-LCVs (Light Commercial Vehicles).</w:t>
      </w:r>
    </w:p>
    <w:p w14:paraId="0C5C76BB" w14:textId="77777777" w:rsidR="00DF753A" w:rsidRDefault="00DF753A" w:rsidP="00DF753A">
      <w:pPr>
        <w:spacing w:after="0"/>
      </w:pPr>
      <w:r>
        <w:t> </w:t>
      </w:r>
    </w:p>
    <w:tbl>
      <w:tblPr>
        <w:tblStyle w:val="Tablaconcuadrcula"/>
        <w:tblW w:w="13178" w:type="dxa"/>
        <w:tblLook w:val="04A0" w:firstRow="1" w:lastRow="0" w:firstColumn="1" w:lastColumn="0" w:noHBand="0" w:noVBand="1"/>
      </w:tblPr>
      <w:tblGrid>
        <w:gridCol w:w="1662"/>
        <w:gridCol w:w="1606"/>
        <w:gridCol w:w="3173"/>
        <w:gridCol w:w="1091"/>
        <w:gridCol w:w="5646"/>
      </w:tblGrid>
      <w:tr w:rsidR="008D5B78" w:rsidRPr="00AE798F" w14:paraId="3FD76BD7" w14:textId="77777777" w:rsidTr="003B222F">
        <w:trPr>
          <w:trHeight w:val="307"/>
          <w:tblHeader/>
        </w:trPr>
        <w:tc>
          <w:tcPr>
            <w:tcW w:w="1664" w:type="dxa"/>
            <w:shd w:val="clear" w:color="auto" w:fill="D9E2F3" w:themeFill="accent1" w:themeFillTint="33"/>
            <w:vAlign w:val="center"/>
          </w:tcPr>
          <w:p w14:paraId="52439DED" w14:textId="7451CB6C" w:rsidR="007A46D5" w:rsidRPr="00AE798F" w:rsidRDefault="007A46D5" w:rsidP="00E55DCC">
            <w:pPr>
              <w:widowControl w:val="0"/>
              <w:tabs>
                <w:tab w:val="left" w:pos="720"/>
              </w:tabs>
              <w:autoSpaceDE w:val="0"/>
              <w:autoSpaceDN w:val="0"/>
              <w:ind w:right="-63"/>
              <w:jc w:val="center"/>
              <w:rPr>
                <w:rFonts w:cs="Arial"/>
                <w:b/>
                <w:sz w:val="20"/>
                <w:szCs w:val="20"/>
              </w:rPr>
            </w:pPr>
            <w:r w:rsidRPr="00AE798F">
              <w:rPr>
                <w:rFonts w:cs="Arial"/>
                <w:b/>
                <w:sz w:val="20"/>
                <w:szCs w:val="20"/>
              </w:rPr>
              <w:t>Activity</w:t>
            </w:r>
          </w:p>
        </w:tc>
        <w:tc>
          <w:tcPr>
            <w:tcW w:w="1568" w:type="dxa"/>
            <w:shd w:val="clear" w:color="auto" w:fill="D9E2F3" w:themeFill="accent1" w:themeFillTint="33"/>
            <w:vAlign w:val="center"/>
          </w:tcPr>
          <w:p w14:paraId="685EED55" w14:textId="1185146D" w:rsidR="007A46D5" w:rsidRPr="00AE798F" w:rsidRDefault="007A46D5" w:rsidP="00E55DCC">
            <w:pPr>
              <w:widowControl w:val="0"/>
              <w:tabs>
                <w:tab w:val="left" w:pos="720"/>
              </w:tabs>
              <w:autoSpaceDE w:val="0"/>
              <w:autoSpaceDN w:val="0"/>
              <w:ind w:right="-63"/>
              <w:jc w:val="center"/>
              <w:rPr>
                <w:rFonts w:cs="Arial"/>
                <w:b/>
                <w:sz w:val="20"/>
                <w:szCs w:val="20"/>
              </w:rPr>
            </w:pPr>
            <w:r w:rsidRPr="00AE798F">
              <w:rPr>
                <w:rFonts w:cs="Arial"/>
                <w:b/>
                <w:sz w:val="20"/>
                <w:szCs w:val="20"/>
              </w:rPr>
              <w:t>Environmental</w:t>
            </w:r>
            <w:r w:rsidR="0088014C">
              <w:rPr>
                <w:rFonts w:cs="Arial"/>
                <w:b/>
                <w:sz w:val="20"/>
                <w:szCs w:val="20"/>
              </w:rPr>
              <w:t xml:space="preserve"> and soc</w:t>
            </w:r>
            <w:r w:rsidR="005B0C5F">
              <w:rPr>
                <w:rFonts w:cs="Arial"/>
                <w:b/>
                <w:sz w:val="20"/>
                <w:szCs w:val="20"/>
              </w:rPr>
              <w:t>ial</w:t>
            </w:r>
            <w:r w:rsidRPr="00AE798F">
              <w:rPr>
                <w:rFonts w:cs="Arial"/>
                <w:b/>
                <w:sz w:val="20"/>
                <w:szCs w:val="20"/>
              </w:rPr>
              <w:t xml:space="preserve"> aspects</w:t>
            </w:r>
          </w:p>
        </w:tc>
        <w:tc>
          <w:tcPr>
            <w:tcW w:w="3184" w:type="dxa"/>
            <w:shd w:val="clear" w:color="auto" w:fill="D9E2F3" w:themeFill="accent1" w:themeFillTint="33"/>
            <w:vAlign w:val="center"/>
          </w:tcPr>
          <w:p w14:paraId="070E7D92" w14:textId="5A133B43" w:rsidR="007A46D5" w:rsidRPr="00AE798F" w:rsidRDefault="007A46D5" w:rsidP="00E55DCC">
            <w:pPr>
              <w:widowControl w:val="0"/>
              <w:tabs>
                <w:tab w:val="left" w:pos="720"/>
              </w:tabs>
              <w:autoSpaceDE w:val="0"/>
              <w:autoSpaceDN w:val="0"/>
              <w:ind w:right="-63"/>
              <w:jc w:val="center"/>
              <w:rPr>
                <w:rFonts w:cs="Arial"/>
                <w:b/>
                <w:sz w:val="20"/>
                <w:szCs w:val="20"/>
              </w:rPr>
            </w:pPr>
            <w:r w:rsidRPr="00AE798F">
              <w:rPr>
                <w:rFonts w:cs="Arial"/>
                <w:b/>
                <w:sz w:val="20"/>
                <w:szCs w:val="20"/>
              </w:rPr>
              <w:t>Potential Adverse impacts</w:t>
            </w:r>
          </w:p>
        </w:tc>
        <w:tc>
          <w:tcPr>
            <w:tcW w:w="1092" w:type="dxa"/>
            <w:shd w:val="clear" w:color="auto" w:fill="D9E2F3" w:themeFill="accent1" w:themeFillTint="33"/>
            <w:vAlign w:val="center"/>
          </w:tcPr>
          <w:p w14:paraId="66FB1815" w14:textId="206F063D" w:rsidR="007A46D5" w:rsidRPr="00AE798F" w:rsidRDefault="007A46D5" w:rsidP="00E55DCC">
            <w:pPr>
              <w:widowControl w:val="0"/>
              <w:tabs>
                <w:tab w:val="left" w:pos="720"/>
              </w:tabs>
              <w:autoSpaceDE w:val="0"/>
              <w:autoSpaceDN w:val="0"/>
              <w:ind w:right="-63"/>
              <w:jc w:val="center"/>
              <w:rPr>
                <w:rFonts w:cs="Arial"/>
                <w:b/>
                <w:sz w:val="20"/>
                <w:szCs w:val="20"/>
              </w:rPr>
            </w:pPr>
            <w:r w:rsidRPr="00AE798F">
              <w:rPr>
                <w:rFonts w:cs="Arial"/>
                <w:b/>
                <w:sz w:val="20"/>
                <w:szCs w:val="20"/>
              </w:rPr>
              <w:t>Risk</w:t>
            </w:r>
          </w:p>
        </w:tc>
        <w:tc>
          <w:tcPr>
            <w:tcW w:w="5670" w:type="dxa"/>
            <w:shd w:val="clear" w:color="auto" w:fill="D9E2F3" w:themeFill="accent1" w:themeFillTint="33"/>
            <w:vAlign w:val="center"/>
          </w:tcPr>
          <w:p w14:paraId="51F3EFCD" w14:textId="33C2C561" w:rsidR="007A46D5" w:rsidRPr="00AE798F" w:rsidRDefault="007A46D5" w:rsidP="00E55DCC">
            <w:pPr>
              <w:widowControl w:val="0"/>
              <w:tabs>
                <w:tab w:val="left" w:pos="720"/>
              </w:tabs>
              <w:autoSpaceDE w:val="0"/>
              <w:autoSpaceDN w:val="0"/>
              <w:ind w:right="-63"/>
              <w:jc w:val="center"/>
              <w:rPr>
                <w:rFonts w:cs="Arial"/>
                <w:b/>
                <w:sz w:val="20"/>
                <w:szCs w:val="20"/>
              </w:rPr>
            </w:pPr>
            <w:r w:rsidRPr="00AE798F">
              <w:rPr>
                <w:rFonts w:cs="Arial"/>
                <w:b/>
                <w:sz w:val="20"/>
                <w:szCs w:val="20"/>
              </w:rPr>
              <w:t>Potential Mitigation</w:t>
            </w:r>
            <w:r w:rsidRPr="00AE798F">
              <w:rPr>
                <w:rFonts w:cs="Arial"/>
                <w:b/>
                <w:spacing w:val="-1"/>
                <w:sz w:val="20"/>
                <w:szCs w:val="20"/>
              </w:rPr>
              <w:t xml:space="preserve"> </w:t>
            </w:r>
            <w:r w:rsidRPr="00AE798F">
              <w:rPr>
                <w:rFonts w:cs="Arial"/>
                <w:b/>
                <w:sz w:val="20"/>
                <w:szCs w:val="20"/>
              </w:rPr>
              <w:t>Measures</w:t>
            </w:r>
            <w:r w:rsidR="006E020F">
              <w:rPr>
                <w:rFonts w:cs="Arial"/>
                <w:b/>
                <w:sz w:val="20"/>
                <w:szCs w:val="20"/>
              </w:rPr>
              <w:t xml:space="preserve"> to be included in the Subprojects ESMP</w:t>
            </w:r>
          </w:p>
        </w:tc>
      </w:tr>
      <w:tr w:rsidR="008D5B78" w:rsidRPr="00AE798F" w14:paraId="736962BF" w14:textId="77777777" w:rsidTr="00801EEC">
        <w:trPr>
          <w:trHeight w:val="134"/>
        </w:trPr>
        <w:tc>
          <w:tcPr>
            <w:tcW w:w="1664" w:type="dxa"/>
            <w:vMerge w:val="restart"/>
          </w:tcPr>
          <w:p w14:paraId="35B75B86" w14:textId="34914001" w:rsidR="004026FB" w:rsidRPr="00AE798F" w:rsidRDefault="004026FB" w:rsidP="00E55DCC">
            <w:pPr>
              <w:widowControl w:val="0"/>
              <w:tabs>
                <w:tab w:val="left" w:pos="720"/>
              </w:tabs>
              <w:autoSpaceDE w:val="0"/>
              <w:autoSpaceDN w:val="0"/>
              <w:ind w:right="-63"/>
              <w:jc w:val="left"/>
              <w:rPr>
                <w:rFonts w:cs="Arial"/>
                <w:sz w:val="20"/>
                <w:szCs w:val="20"/>
              </w:rPr>
            </w:pPr>
            <w:r w:rsidRPr="00AE798F">
              <w:rPr>
                <w:rFonts w:cs="Arial"/>
                <w:sz w:val="20"/>
                <w:szCs w:val="20"/>
              </w:rPr>
              <w:t>Deployment of fleets of e-buses, e-LCV, and other e-vehicles</w:t>
            </w:r>
          </w:p>
        </w:tc>
        <w:tc>
          <w:tcPr>
            <w:tcW w:w="1568" w:type="dxa"/>
            <w:vMerge w:val="restart"/>
          </w:tcPr>
          <w:p w14:paraId="1AD2A839" w14:textId="1C1BAAC4" w:rsidR="004026FB" w:rsidRPr="00AE798F" w:rsidRDefault="007A6BDA" w:rsidP="00E55DCC">
            <w:pPr>
              <w:widowControl w:val="0"/>
              <w:tabs>
                <w:tab w:val="left" w:pos="720"/>
              </w:tabs>
              <w:autoSpaceDE w:val="0"/>
              <w:autoSpaceDN w:val="0"/>
              <w:ind w:right="-63"/>
              <w:jc w:val="left"/>
              <w:rPr>
                <w:rFonts w:cs="Arial"/>
                <w:sz w:val="20"/>
                <w:szCs w:val="20"/>
              </w:rPr>
            </w:pPr>
            <w:r w:rsidRPr="00AE798F">
              <w:rPr>
                <w:rFonts w:cs="Arial"/>
                <w:sz w:val="20"/>
                <w:szCs w:val="20"/>
              </w:rPr>
              <w:t>Physical (</w:t>
            </w:r>
            <w:r w:rsidR="004026FB" w:rsidRPr="00AE798F">
              <w:rPr>
                <w:rFonts w:cs="Arial"/>
                <w:sz w:val="20"/>
                <w:szCs w:val="20"/>
              </w:rPr>
              <w:t>S</w:t>
            </w:r>
            <w:r w:rsidR="00335135" w:rsidRPr="00AE798F">
              <w:rPr>
                <w:rFonts w:cs="Arial"/>
                <w:sz w:val="20"/>
                <w:szCs w:val="20"/>
              </w:rPr>
              <w:t xml:space="preserve">pecial </w:t>
            </w:r>
            <w:r w:rsidR="004026FB" w:rsidRPr="00AE798F">
              <w:rPr>
                <w:rFonts w:cs="Arial"/>
                <w:sz w:val="20"/>
                <w:szCs w:val="20"/>
              </w:rPr>
              <w:t>waste generation</w:t>
            </w:r>
            <w:r w:rsidRPr="00AE798F">
              <w:rPr>
                <w:rFonts w:cs="Arial"/>
                <w:sz w:val="20"/>
                <w:szCs w:val="20"/>
              </w:rPr>
              <w:t>)</w:t>
            </w:r>
          </w:p>
        </w:tc>
        <w:tc>
          <w:tcPr>
            <w:tcW w:w="3184" w:type="dxa"/>
          </w:tcPr>
          <w:p w14:paraId="137735E5" w14:textId="56A3F245" w:rsidR="004026FB" w:rsidRPr="00AE798F" w:rsidRDefault="004026FB" w:rsidP="00E55DCC">
            <w:pPr>
              <w:widowControl w:val="0"/>
              <w:tabs>
                <w:tab w:val="left" w:pos="720"/>
              </w:tabs>
              <w:autoSpaceDE w:val="0"/>
              <w:autoSpaceDN w:val="0"/>
              <w:ind w:right="-63"/>
              <w:jc w:val="left"/>
              <w:rPr>
                <w:rFonts w:cs="Arial"/>
                <w:sz w:val="20"/>
                <w:szCs w:val="20"/>
              </w:rPr>
            </w:pPr>
            <w:r w:rsidRPr="00AE798F">
              <w:rPr>
                <w:rFonts w:cs="Arial"/>
                <w:sz w:val="20"/>
                <w:szCs w:val="20"/>
              </w:rPr>
              <w:t xml:space="preserve">Generation of End-of-Life </w:t>
            </w:r>
            <w:r w:rsidR="00BD1E90" w:rsidRPr="00AE798F">
              <w:rPr>
                <w:rFonts w:cs="Arial"/>
                <w:sz w:val="20"/>
                <w:szCs w:val="20"/>
              </w:rPr>
              <w:t>EV batteries</w:t>
            </w:r>
            <w:r w:rsidR="00AB58EB">
              <w:t xml:space="preserve"> </w:t>
            </w:r>
            <w:r w:rsidR="00483D8E">
              <w:t>(</w:t>
            </w:r>
            <w:r w:rsidR="004874A3">
              <w:t xml:space="preserve">major </w:t>
            </w:r>
            <w:r w:rsidR="00AB58EB" w:rsidRPr="00AB58EB">
              <w:rPr>
                <w:rFonts w:cs="Arial"/>
                <w:sz w:val="20"/>
                <w:szCs w:val="20"/>
              </w:rPr>
              <w:t>battery typologies, esp</w:t>
            </w:r>
            <w:r w:rsidR="004874A3">
              <w:rPr>
                <w:rFonts w:cs="Arial"/>
                <w:sz w:val="20"/>
                <w:szCs w:val="20"/>
              </w:rPr>
              <w:t>ecially</w:t>
            </w:r>
            <w:r w:rsidR="00AB58EB" w:rsidRPr="00AB58EB">
              <w:rPr>
                <w:rFonts w:cs="Arial"/>
                <w:sz w:val="20"/>
                <w:szCs w:val="20"/>
              </w:rPr>
              <w:t xml:space="preserve"> lithium-ion batteries</w:t>
            </w:r>
            <w:r w:rsidR="004874A3">
              <w:rPr>
                <w:rFonts w:cs="Arial"/>
                <w:sz w:val="20"/>
                <w:szCs w:val="20"/>
              </w:rPr>
              <w:t>)</w:t>
            </w:r>
            <w:r w:rsidRPr="00AE798F">
              <w:rPr>
                <w:rFonts w:cs="Arial"/>
                <w:sz w:val="20"/>
                <w:szCs w:val="20"/>
              </w:rPr>
              <w:t xml:space="preserve">: bulk waste streams will be generated 8 years after EV are put into operation and thereafter will increase gradually. </w:t>
            </w:r>
          </w:p>
          <w:p w14:paraId="4DC2C951" w14:textId="77777777" w:rsidR="004026FB" w:rsidRDefault="004026FB" w:rsidP="00E55DCC">
            <w:pPr>
              <w:widowControl w:val="0"/>
              <w:tabs>
                <w:tab w:val="left" w:pos="720"/>
              </w:tabs>
              <w:autoSpaceDE w:val="0"/>
              <w:autoSpaceDN w:val="0"/>
              <w:ind w:right="-63"/>
              <w:jc w:val="left"/>
              <w:rPr>
                <w:rFonts w:cs="Arial"/>
                <w:sz w:val="20"/>
                <w:szCs w:val="20"/>
              </w:rPr>
            </w:pPr>
          </w:p>
          <w:p w14:paraId="40CF110D" w14:textId="155CA0D9" w:rsidR="00406BD4" w:rsidRPr="00AE798F" w:rsidRDefault="00406BD4" w:rsidP="00E55DCC">
            <w:pPr>
              <w:widowControl w:val="0"/>
              <w:tabs>
                <w:tab w:val="left" w:pos="720"/>
              </w:tabs>
              <w:autoSpaceDE w:val="0"/>
              <w:autoSpaceDN w:val="0"/>
              <w:ind w:right="-63"/>
              <w:jc w:val="left"/>
              <w:rPr>
                <w:rFonts w:cs="Arial"/>
                <w:sz w:val="20"/>
                <w:szCs w:val="20"/>
              </w:rPr>
            </w:pPr>
          </w:p>
          <w:p w14:paraId="410A3A20" w14:textId="77777777" w:rsidR="004026FB" w:rsidRPr="00AE798F" w:rsidRDefault="004026FB" w:rsidP="00E55DCC">
            <w:pPr>
              <w:widowControl w:val="0"/>
              <w:tabs>
                <w:tab w:val="left" w:pos="720"/>
              </w:tabs>
              <w:autoSpaceDE w:val="0"/>
              <w:autoSpaceDN w:val="0"/>
              <w:ind w:right="-63"/>
              <w:jc w:val="left"/>
              <w:rPr>
                <w:rFonts w:cs="Arial"/>
                <w:sz w:val="20"/>
                <w:szCs w:val="20"/>
              </w:rPr>
            </w:pPr>
          </w:p>
          <w:p w14:paraId="563EFA12" w14:textId="5429741C" w:rsidR="004026FB" w:rsidRPr="00AE798F" w:rsidRDefault="004026FB" w:rsidP="00E55DCC">
            <w:pPr>
              <w:widowControl w:val="0"/>
              <w:tabs>
                <w:tab w:val="left" w:pos="720"/>
              </w:tabs>
              <w:autoSpaceDE w:val="0"/>
              <w:autoSpaceDN w:val="0"/>
              <w:ind w:right="-63"/>
              <w:jc w:val="left"/>
              <w:rPr>
                <w:rFonts w:cs="Arial"/>
                <w:sz w:val="20"/>
                <w:szCs w:val="20"/>
              </w:rPr>
            </w:pPr>
            <w:r w:rsidRPr="00AE798F">
              <w:rPr>
                <w:rFonts w:cs="Arial"/>
                <w:sz w:val="20"/>
                <w:szCs w:val="20"/>
              </w:rPr>
              <w:t>At the international level, the technology that will allow optimizing lithium batteries recycling in several countries is under development and/or improvement. This development is expected to be mature by the time battery wastes is being generated.</w:t>
            </w:r>
          </w:p>
        </w:tc>
        <w:tc>
          <w:tcPr>
            <w:tcW w:w="1092" w:type="dxa"/>
          </w:tcPr>
          <w:p w14:paraId="2863CC0B" w14:textId="4D187E53" w:rsidR="004026FB" w:rsidRPr="00AE798F" w:rsidRDefault="004026FB" w:rsidP="00E55DCC">
            <w:pPr>
              <w:widowControl w:val="0"/>
              <w:tabs>
                <w:tab w:val="left" w:pos="720"/>
              </w:tabs>
              <w:autoSpaceDE w:val="0"/>
              <w:autoSpaceDN w:val="0"/>
              <w:ind w:right="-63"/>
              <w:jc w:val="left"/>
              <w:rPr>
                <w:rFonts w:cs="Arial"/>
                <w:sz w:val="20"/>
                <w:szCs w:val="20"/>
              </w:rPr>
            </w:pPr>
            <w:r w:rsidRPr="00AE798F">
              <w:rPr>
                <w:rFonts w:cs="Arial"/>
                <w:sz w:val="20"/>
                <w:szCs w:val="20"/>
              </w:rPr>
              <w:t>M</w:t>
            </w:r>
            <w:r w:rsidR="00CA400A" w:rsidRPr="00AE798F">
              <w:rPr>
                <w:rFonts w:cs="Arial"/>
                <w:sz w:val="20"/>
                <w:szCs w:val="20"/>
              </w:rPr>
              <w:t>edium</w:t>
            </w:r>
          </w:p>
        </w:tc>
        <w:tc>
          <w:tcPr>
            <w:tcW w:w="5670" w:type="dxa"/>
          </w:tcPr>
          <w:p w14:paraId="09F3087F" w14:textId="13E888FA" w:rsidR="004026FB" w:rsidRPr="00AE798F" w:rsidRDefault="004026FB" w:rsidP="00891F31">
            <w:pPr>
              <w:widowControl w:val="0"/>
              <w:tabs>
                <w:tab w:val="left" w:pos="720"/>
              </w:tabs>
              <w:autoSpaceDE w:val="0"/>
              <w:autoSpaceDN w:val="0"/>
              <w:ind w:right="-63"/>
              <w:jc w:val="left"/>
              <w:rPr>
                <w:rFonts w:cs="Arial"/>
                <w:sz w:val="20"/>
                <w:szCs w:val="20"/>
              </w:rPr>
            </w:pPr>
            <w:r w:rsidRPr="00AE798F">
              <w:rPr>
                <w:rFonts w:cs="Arial"/>
                <w:sz w:val="20"/>
                <w:szCs w:val="20"/>
              </w:rPr>
              <w:t>In the participating countries, there are no specific regulations or policies for the handling, transportation, disposal, reuse, or recycling of batteries for electric vehicles. Under its Component 1, E-Motion Subprogram 2 will provide technical support to the governments in the participating countries to develop the necessary regulatory framework, develop the necessary infrastructure and build capacities to manage the waste streams, particularly End-of-Life EV batteries, generated because of the deployment of fleets of e-buses, e-</w:t>
            </w:r>
            <w:proofErr w:type="gramStart"/>
            <w:r w:rsidRPr="00AE798F">
              <w:rPr>
                <w:rFonts w:cs="Arial"/>
                <w:sz w:val="20"/>
                <w:szCs w:val="20"/>
              </w:rPr>
              <w:t>LCV</w:t>
            </w:r>
            <w:proofErr w:type="gramEnd"/>
            <w:r w:rsidRPr="00AE798F">
              <w:rPr>
                <w:rFonts w:cs="Arial"/>
                <w:sz w:val="20"/>
                <w:szCs w:val="20"/>
              </w:rPr>
              <w:t xml:space="preserve"> and other forms of e-vehicles. The specific activities planned under subcomponent 1, include the following:</w:t>
            </w:r>
          </w:p>
          <w:p w14:paraId="4B999FB7" w14:textId="77777777" w:rsidR="004026FB" w:rsidRPr="00AE798F" w:rsidRDefault="004026FB" w:rsidP="00891F31">
            <w:pPr>
              <w:widowControl w:val="0"/>
              <w:tabs>
                <w:tab w:val="left" w:pos="720"/>
              </w:tabs>
              <w:autoSpaceDE w:val="0"/>
              <w:autoSpaceDN w:val="0"/>
              <w:ind w:right="-63"/>
              <w:jc w:val="left"/>
              <w:rPr>
                <w:rFonts w:cs="Arial"/>
                <w:sz w:val="20"/>
                <w:szCs w:val="20"/>
              </w:rPr>
            </w:pPr>
          </w:p>
          <w:p w14:paraId="5F91166E" w14:textId="4E976693" w:rsidR="004026FB" w:rsidRPr="00AE798F" w:rsidRDefault="004026FB"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Policy Advice on battery re-usage, recycling and disposal and capacity development at a national level.</w:t>
            </w:r>
          </w:p>
          <w:p w14:paraId="15E8FCCF" w14:textId="3B4ED86F" w:rsidR="004026FB" w:rsidRPr="00AE798F" w:rsidRDefault="004026FB"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Capacity building, training and permanent technical advice made available on EVs and charging infrastructure operation, maintenance, health and safety and optimal management of EV fleets. Technology suppliers will lead these activities.</w:t>
            </w:r>
          </w:p>
          <w:p w14:paraId="68BBCADB" w14:textId="7065F036" w:rsidR="004026FB" w:rsidRPr="00AE798F" w:rsidRDefault="004026FB" w:rsidP="001A4725">
            <w:pPr>
              <w:pStyle w:val="Prrafodelista"/>
              <w:widowControl w:val="0"/>
              <w:tabs>
                <w:tab w:val="left" w:pos="720"/>
              </w:tabs>
              <w:autoSpaceDE w:val="0"/>
              <w:autoSpaceDN w:val="0"/>
              <w:ind w:left="360" w:right="-63"/>
              <w:jc w:val="left"/>
              <w:rPr>
                <w:rFonts w:cs="Arial"/>
                <w:sz w:val="20"/>
                <w:szCs w:val="20"/>
              </w:rPr>
            </w:pPr>
            <w:r w:rsidRPr="00AE798F">
              <w:rPr>
                <w:rFonts w:cs="Arial"/>
                <w:sz w:val="20"/>
                <w:szCs w:val="20"/>
              </w:rPr>
              <w:tab/>
            </w:r>
          </w:p>
          <w:p w14:paraId="50DDCAFE" w14:textId="1DA3BC27" w:rsidR="004026FB" w:rsidRPr="00AE798F" w:rsidRDefault="004026FB" w:rsidP="00BE0045">
            <w:pPr>
              <w:widowControl w:val="0"/>
              <w:tabs>
                <w:tab w:val="left" w:pos="720"/>
              </w:tabs>
              <w:autoSpaceDE w:val="0"/>
              <w:autoSpaceDN w:val="0"/>
              <w:ind w:right="-63"/>
              <w:jc w:val="left"/>
              <w:rPr>
                <w:rFonts w:cs="Arial"/>
                <w:sz w:val="20"/>
                <w:szCs w:val="20"/>
              </w:rPr>
            </w:pPr>
            <w:r w:rsidRPr="00AE798F">
              <w:rPr>
                <w:rFonts w:cs="Arial"/>
                <w:sz w:val="20"/>
                <w:szCs w:val="20"/>
              </w:rPr>
              <w:t>End-of-Life batteries can be destined for in-country reuse (if developed) and/or recycling through export.</w:t>
            </w:r>
          </w:p>
          <w:p w14:paraId="77162094" w14:textId="77777777" w:rsidR="004026FB" w:rsidRPr="00AE798F" w:rsidRDefault="004026FB" w:rsidP="00BE0045">
            <w:pPr>
              <w:widowControl w:val="0"/>
              <w:tabs>
                <w:tab w:val="left" w:pos="720"/>
              </w:tabs>
              <w:autoSpaceDE w:val="0"/>
              <w:autoSpaceDN w:val="0"/>
              <w:ind w:right="-63"/>
              <w:jc w:val="left"/>
              <w:rPr>
                <w:rFonts w:cs="Arial"/>
                <w:sz w:val="20"/>
                <w:szCs w:val="20"/>
              </w:rPr>
            </w:pPr>
          </w:p>
          <w:p w14:paraId="00A562C7" w14:textId="5E7606FE" w:rsidR="004026FB" w:rsidRPr="00AE798F" w:rsidRDefault="004026FB"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 xml:space="preserve">Reuse: EV batteries can typically be re-used for surplus electricity storage purposes both at the commercial as well as the domestic level. E-Motion Subprogram 2 will support governments to kick start research and development, as well as training initiatives to encourage in-country re-use. </w:t>
            </w:r>
          </w:p>
          <w:p w14:paraId="6A3D697B" w14:textId="77777777" w:rsidR="004026FB" w:rsidRPr="00AE798F" w:rsidRDefault="004026FB"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 xml:space="preserve">Recycling. This will be done through the export of the lithium batteries to authorized recycling companies or to manufacturer.  The participating countries, have in place facilities and have capabilities for collecting, </w:t>
            </w:r>
            <w:proofErr w:type="gramStart"/>
            <w:r w:rsidRPr="00AE798F">
              <w:rPr>
                <w:rFonts w:cs="Arial"/>
                <w:sz w:val="20"/>
                <w:szCs w:val="20"/>
              </w:rPr>
              <w:t>conditioning</w:t>
            </w:r>
            <w:proofErr w:type="gramEnd"/>
            <w:r w:rsidRPr="00AE798F">
              <w:rPr>
                <w:rFonts w:cs="Arial"/>
                <w:sz w:val="20"/>
                <w:szCs w:val="20"/>
              </w:rPr>
              <w:t xml:space="preserve"> and exporting batteries in order to allow the recycling of its main components. Articulation mechanisms will be created to improve the national capacity for conditioning and exporting batteries for recycling in facilities abroad.</w:t>
            </w:r>
          </w:p>
          <w:p w14:paraId="3B9C8797" w14:textId="0177440C" w:rsidR="00325D02" w:rsidRDefault="00325D02" w:rsidP="00325D02">
            <w:pPr>
              <w:widowControl w:val="0"/>
              <w:tabs>
                <w:tab w:val="left" w:pos="290"/>
              </w:tabs>
              <w:autoSpaceDE w:val="0"/>
              <w:autoSpaceDN w:val="0"/>
              <w:ind w:left="6" w:right="-63"/>
              <w:jc w:val="left"/>
              <w:rPr>
                <w:rFonts w:cs="Arial"/>
                <w:sz w:val="20"/>
                <w:szCs w:val="20"/>
              </w:rPr>
            </w:pPr>
          </w:p>
          <w:p w14:paraId="17912FAE" w14:textId="77777777" w:rsidR="00DE7552" w:rsidRDefault="00DE7552" w:rsidP="00DE7552">
            <w:pPr>
              <w:pStyle w:val="Textocomentario"/>
              <w:jc w:val="left"/>
            </w:pPr>
            <w:r w:rsidRPr="00D67888">
              <w:rPr>
                <w:rFonts w:cs="Arial"/>
              </w:rPr>
              <w:t xml:space="preserve">Participating countries must </w:t>
            </w:r>
            <w:r w:rsidRPr="006A0972">
              <w:rPr>
                <w:rFonts w:cs="Arial"/>
              </w:rPr>
              <w:t xml:space="preserve">define the waste classification of </w:t>
            </w:r>
            <w:r w:rsidRPr="00057A32">
              <w:rPr>
                <w:rFonts w:cs="Arial"/>
              </w:rPr>
              <w:t xml:space="preserve">EV batteries and establish corresponding management, treatment and </w:t>
            </w:r>
            <w:r w:rsidRPr="007D0C8B">
              <w:rPr>
                <w:rFonts w:cs="Arial"/>
              </w:rPr>
              <w:t xml:space="preserve">disposal </w:t>
            </w:r>
            <w:r w:rsidRPr="004F3EFA">
              <w:rPr>
                <w:rFonts w:cs="Arial"/>
              </w:rPr>
              <w:t>specific</w:t>
            </w:r>
            <w:r w:rsidRPr="00C27AF2">
              <w:rPr>
                <w:rFonts w:cs="Arial"/>
              </w:rPr>
              <w:t>ations and</w:t>
            </w:r>
            <w:r w:rsidRPr="00812F4F">
              <w:rPr>
                <w:rFonts w:cs="Arial"/>
              </w:rPr>
              <w:t xml:space="preserve"> requirements</w:t>
            </w:r>
            <w:r>
              <w:rPr>
                <w:rFonts w:cs="Arial"/>
              </w:rPr>
              <w:t xml:space="preserve">, </w:t>
            </w:r>
            <w:r w:rsidRPr="00057A32">
              <w:rPr>
                <w:rFonts w:cs="Arial"/>
              </w:rPr>
              <w:t xml:space="preserve">to </w:t>
            </w:r>
            <w:r w:rsidRPr="00D67888">
              <w:t>properly address the potential adverse environmental and health impacts.</w:t>
            </w:r>
            <w:r>
              <w:t xml:space="preserve"> </w:t>
            </w:r>
            <w:r w:rsidRPr="00057A32">
              <w:t>In</w:t>
            </w:r>
            <w:r w:rsidRPr="001911E3">
              <w:t xml:space="preserve"> addition to complying with national laws and regulations,</w:t>
            </w:r>
            <w:r>
              <w:t xml:space="preserve"> these measures should also meet </w:t>
            </w:r>
            <w:r w:rsidRPr="001911E3">
              <w:t xml:space="preserve">CAF </w:t>
            </w:r>
            <w:r>
              <w:t>and GCF Environmental and Social Standards</w:t>
            </w:r>
            <w:r w:rsidRPr="001911E3">
              <w:t xml:space="preserve">. </w:t>
            </w:r>
          </w:p>
          <w:p w14:paraId="07C47A36" w14:textId="77777777" w:rsidR="00DE7552" w:rsidRPr="00AE798F" w:rsidRDefault="00DE7552" w:rsidP="00325D02">
            <w:pPr>
              <w:widowControl w:val="0"/>
              <w:tabs>
                <w:tab w:val="left" w:pos="290"/>
              </w:tabs>
              <w:autoSpaceDE w:val="0"/>
              <w:autoSpaceDN w:val="0"/>
              <w:ind w:left="6" w:right="-63"/>
              <w:jc w:val="left"/>
              <w:rPr>
                <w:rFonts w:cs="Arial"/>
                <w:sz w:val="20"/>
                <w:szCs w:val="20"/>
              </w:rPr>
            </w:pPr>
          </w:p>
          <w:p w14:paraId="0B88852A" w14:textId="7E81B769" w:rsidR="004B1D67" w:rsidRPr="004B1D67" w:rsidRDefault="00630A24" w:rsidP="00630A24">
            <w:pPr>
              <w:widowControl w:val="0"/>
              <w:tabs>
                <w:tab w:val="left" w:pos="290"/>
              </w:tabs>
              <w:autoSpaceDE w:val="0"/>
              <w:autoSpaceDN w:val="0"/>
              <w:ind w:left="6" w:right="-63"/>
              <w:jc w:val="left"/>
              <w:rPr>
                <w:rFonts w:cs="Arial"/>
                <w:sz w:val="20"/>
                <w:szCs w:val="20"/>
              </w:rPr>
            </w:pPr>
            <w:r w:rsidRPr="00AE798F">
              <w:rPr>
                <w:rFonts w:cs="Arial"/>
                <w:sz w:val="20"/>
                <w:szCs w:val="20"/>
              </w:rPr>
              <w:t xml:space="preserve">Establish an integral EV battery waste management program, which will comply with the regulatory requirements established by each country for their management, </w:t>
            </w:r>
            <w:proofErr w:type="gramStart"/>
            <w:r w:rsidRPr="00AE798F">
              <w:rPr>
                <w:rFonts w:cs="Arial"/>
                <w:sz w:val="20"/>
                <w:szCs w:val="20"/>
              </w:rPr>
              <w:t>treatment</w:t>
            </w:r>
            <w:proofErr w:type="gramEnd"/>
            <w:r w:rsidRPr="00AE798F">
              <w:rPr>
                <w:rFonts w:cs="Arial"/>
                <w:sz w:val="20"/>
                <w:szCs w:val="20"/>
              </w:rPr>
              <w:t xml:space="preserve"> and disposal. </w:t>
            </w:r>
            <w:r w:rsidR="004B1D67" w:rsidRPr="004B1D67">
              <w:rPr>
                <w:rFonts w:cs="Arial"/>
                <w:sz w:val="20"/>
                <w:szCs w:val="20"/>
              </w:rPr>
              <w:t xml:space="preserve">All the implementing partners will need to comply </w:t>
            </w:r>
            <w:r w:rsidR="00F56065">
              <w:rPr>
                <w:rFonts w:cs="Arial"/>
                <w:sz w:val="20"/>
                <w:szCs w:val="20"/>
              </w:rPr>
              <w:t xml:space="preserve">with </w:t>
            </w:r>
            <w:r w:rsidR="004B1D67" w:rsidRPr="004B1D67">
              <w:rPr>
                <w:rFonts w:cs="Arial"/>
                <w:sz w:val="20"/>
                <w:szCs w:val="20"/>
              </w:rPr>
              <w:t xml:space="preserve">the EV battery waste management program, reporting on its performance and results.    </w:t>
            </w:r>
          </w:p>
          <w:p w14:paraId="5988C9E9" w14:textId="77777777" w:rsidR="004B1D67" w:rsidRDefault="004B1D67" w:rsidP="00630A24">
            <w:pPr>
              <w:widowControl w:val="0"/>
              <w:tabs>
                <w:tab w:val="left" w:pos="290"/>
              </w:tabs>
              <w:autoSpaceDE w:val="0"/>
              <w:autoSpaceDN w:val="0"/>
              <w:ind w:left="6" w:right="-63"/>
              <w:jc w:val="left"/>
              <w:rPr>
                <w:rFonts w:cs="Arial"/>
                <w:sz w:val="20"/>
                <w:szCs w:val="20"/>
              </w:rPr>
            </w:pPr>
          </w:p>
          <w:p w14:paraId="5460ADDF" w14:textId="0F69665D" w:rsidR="00325D02" w:rsidRPr="00AE798F" w:rsidRDefault="00325D02" w:rsidP="00630A24">
            <w:pPr>
              <w:widowControl w:val="0"/>
              <w:tabs>
                <w:tab w:val="left" w:pos="290"/>
              </w:tabs>
              <w:autoSpaceDE w:val="0"/>
              <w:autoSpaceDN w:val="0"/>
              <w:ind w:left="6" w:right="-63"/>
              <w:jc w:val="left"/>
              <w:rPr>
                <w:rFonts w:cs="Arial"/>
                <w:sz w:val="20"/>
                <w:szCs w:val="20"/>
              </w:rPr>
            </w:pPr>
            <w:r w:rsidRPr="00AE798F">
              <w:rPr>
                <w:rFonts w:cs="Arial"/>
                <w:sz w:val="20"/>
                <w:szCs w:val="20"/>
              </w:rPr>
              <w:t xml:space="preserve">The final disposal of the batteries must be clearly identified in the final design studies, and have the corresponding authorizations, when the local regulations </w:t>
            </w:r>
            <w:proofErr w:type="gramStart"/>
            <w:r w:rsidRPr="00AE798F">
              <w:rPr>
                <w:rFonts w:cs="Arial"/>
                <w:sz w:val="20"/>
                <w:szCs w:val="20"/>
              </w:rPr>
              <w:t>indicates</w:t>
            </w:r>
            <w:proofErr w:type="gramEnd"/>
            <w:r w:rsidRPr="00AE798F">
              <w:rPr>
                <w:rFonts w:cs="Arial"/>
                <w:sz w:val="20"/>
                <w:szCs w:val="20"/>
              </w:rPr>
              <w:t xml:space="preserve"> it.  If the local legislation does not have specific regulations in this regard, the best international practices must be applied.</w:t>
            </w:r>
          </w:p>
        </w:tc>
      </w:tr>
      <w:tr w:rsidR="008D5B78" w:rsidRPr="00AE798F" w14:paraId="41745A8C" w14:textId="77777777" w:rsidTr="00801EEC">
        <w:trPr>
          <w:trHeight w:val="134"/>
        </w:trPr>
        <w:tc>
          <w:tcPr>
            <w:tcW w:w="1664" w:type="dxa"/>
            <w:vMerge/>
          </w:tcPr>
          <w:p w14:paraId="12D468D5" w14:textId="77777777" w:rsidR="004026FB" w:rsidRPr="00AE798F" w:rsidRDefault="004026FB" w:rsidP="00E55DCC">
            <w:pPr>
              <w:widowControl w:val="0"/>
              <w:tabs>
                <w:tab w:val="left" w:pos="720"/>
              </w:tabs>
              <w:autoSpaceDE w:val="0"/>
              <w:autoSpaceDN w:val="0"/>
              <w:ind w:right="-63"/>
              <w:jc w:val="left"/>
              <w:rPr>
                <w:rFonts w:cs="Arial"/>
                <w:sz w:val="20"/>
                <w:szCs w:val="20"/>
              </w:rPr>
            </w:pPr>
          </w:p>
        </w:tc>
        <w:tc>
          <w:tcPr>
            <w:tcW w:w="1568" w:type="dxa"/>
            <w:vMerge/>
          </w:tcPr>
          <w:p w14:paraId="79C67B88" w14:textId="77777777" w:rsidR="004026FB" w:rsidRPr="00AE798F" w:rsidRDefault="004026FB" w:rsidP="00E55DCC">
            <w:pPr>
              <w:widowControl w:val="0"/>
              <w:tabs>
                <w:tab w:val="left" w:pos="720"/>
              </w:tabs>
              <w:autoSpaceDE w:val="0"/>
              <w:autoSpaceDN w:val="0"/>
              <w:ind w:right="-63"/>
              <w:jc w:val="left"/>
              <w:rPr>
                <w:rFonts w:cs="Arial"/>
                <w:sz w:val="20"/>
                <w:szCs w:val="20"/>
              </w:rPr>
            </w:pPr>
          </w:p>
        </w:tc>
        <w:tc>
          <w:tcPr>
            <w:tcW w:w="3184" w:type="dxa"/>
          </w:tcPr>
          <w:p w14:paraId="5ACDB53C" w14:textId="3694F41D" w:rsidR="004026FB" w:rsidRPr="00AE798F" w:rsidRDefault="004026FB" w:rsidP="00E55DCC">
            <w:pPr>
              <w:widowControl w:val="0"/>
              <w:tabs>
                <w:tab w:val="left" w:pos="720"/>
              </w:tabs>
              <w:autoSpaceDE w:val="0"/>
              <w:autoSpaceDN w:val="0"/>
              <w:ind w:right="-63"/>
              <w:jc w:val="left"/>
              <w:rPr>
                <w:rFonts w:cs="Arial"/>
                <w:sz w:val="20"/>
                <w:szCs w:val="20"/>
                <w:lang w:val="en-US"/>
              </w:rPr>
            </w:pPr>
            <w:r w:rsidRPr="00AE798F">
              <w:rPr>
                <w:rFonts w:cs="Arial"/>
                <w:sz w:val="20"/>
                <w:szCs w:val="20"/>
                <w:lang w:val="en-US"/>
              </w:rPr>
              <w:t>Generation of ELV (gasoil buses) and other wastes, such as oils, lubricants, lead-acid batteries, tires, etc.</w:t>
            </w:r>
          </w:p>
          <w:p w14:paraId="0B65C2D2" w14:textId="59EFB44D" w:rsidR="004026FB" w:rsidRPr="00AE798F" w:rsidRDefault="004026FB" w:rsidP="00E55DCC">
            <w:pPr>
              <w:widowControl w:val="0"/>
              <w:tabs>
                <w:tab w:val="left" w:pos="720"/>
              </w:tabs>
              <w:autoSpaceDE w:val="0"/>
              <w:autoSpaceDN w:val="0"/>
              <w:ind w:right="-63"/>
              <w:jc w:val="left"/>
              <w:rPr>
                <w:rFonts w:cs="Arial"/>
                <w:sz w:val="20"/>
                <w:szCs w:val="20"/>
                <w:lang w:val="en-US"/>
              </w:rPr>
            </w:pPr>
          </w:p>
          <w:p w14:paraId="5BE4C8C9" w14:textId="6C6984AE" w:rsidR="004026FB" w:rsidRPr="00AE798F" w:rsidRDefault="004026FB" w:rsidP="00E55DCC">
            <w:pPr>
              <w:widowControl w:val="0"/>
              <w:tabs>
                <w:tab w:val="left" w:pos="720"/>
              </w:tabs>
              <w:autoSpaceDE w:val="0"/>
              <w:autoSpaceDN w:val="0"/>
              <w:ind w:right="-63"/>
              <w:jc w:val="left"/>
              <w:rPr>
                <w:rFonts w:cs="Arial"/>
                <w:sz w:val="20"/>
                <w:szCs w:val="20"/>
                <w:lang w:val="en-US"/>
              </w:rPr>
            </w:pPr>
            <w:r w:rsidRPr="00AE798F">
              <w:rPr>
                <w:rFonts w:cs="Arial"/>
                <w:sz w:val="20"/>
                <w:szCs w:val="20"/>
                <w:lang w:val="en-US"/>
              </w:rPr>
              <w:t xml:space="preserve">The stock of petrol-fueled buses that will be replaced by the new fleets of e-buses, if retired, are likely to be dismantled and recycled. </w:t>
            </w:r>
          </w:p>
          <w:p w14:paraId="4E7E0D89" w14:textId="2CAF43ED" w:rsidR="004026FB" w:rsidRPr="00AE798F" w:rsidRDefault="004026FB" w:rsidP="00E55DCC">
            <w:pPr>
              <w:widowControl w:val="0"/>
              <w:tabs>
                <w:tab w:val="left" w:pos="720"/>
              </w:tabs>
              <w:autoSpaceDE w:val="0"/>
              <w:autoSpaceDN w:val="0"/>
              <w:ind w:right="-63"/>
              <w:jc w:val="left"/>
              <w:rPr>
                <w:rFonts w:cs="Arial"/>
                <w:sz w:val="20"/>
                <w:szCs w:val="20"/>
                <w:lang w:val="en-US"/>
              </w:rPr>
            </w:pPr>
          </w:p>
        </w:tc>
        <w:tc>
          <w:tcPr>
            <w:tcW w:w="1092" w:type="dxa"/>
          </w:tcPr>
          <w:p w14:paraId="54DA27CC" w14:textId="630867C4" w:rsidR="004026FB" w:rsidRPr="00AE798F" w:rsidRDefault="00CA400A" w:rsidP="00E55DCC">
            <w:pPr>
              <w:widowControl w:val="0"/>
              <w:tabs>
                <w:tab w:val="left" w:pos="720"/>
              </w:tabs>
              <w:autoSpaceDE w:val="0"/>
              <w:autoSpaceDN w:val="0"/>
              <w:ind w:right="-63"/>
              <w:jc w:val="left"/>
              <w:rPr>
                <w:rFonts w:cs="Arial"/>
                <w:sz w:val="20"/>
                <w:szCs w:val="20"/>
              </w:rPr>
            </w:pPr>
            <w:r w:rsidRPr="00AE798F">
              <w:rPr>
                <w:rFonts w:cs="Arial"/>
                <w:sz w:val="20"/>
                <w:szCs w:val="20"/>
              </w:rPr>
              <w:t>Medium</w:t>
            </w:r>
          </w:p>
        </w:tc>
        <w:tc>
          <w:tcPr>
            <w:tcW w:w="5670" w:type="dxa"/>
          </w:tcPr>
          <w:p w14:paraId="17F5BB56" w14:textId="4A60C522" w:rsidR="004026FB" w:rsidRDefault="004026FB" w:rsidP="00325EF5">
            <w:pPr>
              <w:widowControl w:val="0"/>
              <w:tabs>
                <w:tab w:val="left" w:pos="720"/>
              </w:tabs>
              <w:autoSpaceDE w:val="0"/>
              <w:autoSpaceDN w:val="0"/>
              <w:ind w:right="-63"/>
              <w:jc w:val="left"/>
              <w:rPr>
                <w:rFonts w:cs="Arial"/>
                <w:sz w:val="20"/>
                <w:szCs w:val="20"/>
              </w:rPr>
            </w:pPr>
            <w:r w:rsidRPr="00AE798F">
              <w:rPr>
                <w:rFonts w:cs="Arial"/>
                <w:sz w:val="20"/>
                <w:szCs w:val="20"/>
              </w:rPr>
              <w:t xml:space="preserve">All participating countries have adequate recycling facilities, technical </w:t>
            </w:r>
            <w:proofErr w:type="gramStart"/>
            <w:r w:rsidRPr="00AE798F">
              <w:rPr>
                <w:rFonts w:cs="Arial"/>
                <w:sz w:val="20"/>
                <w:szCs w:val="20"/>
              </w:rPr>
              <w:t>capabilities</w:t>
            </w:r>
            <w:proofErr w:type="gramEnd"/>
            <w:r w:rsidRPr="00AE798F">
              <w:rPr>
                <w:rFonts w:cs="Arial"/>
                <w:sz w:val="20"/>
                <w:szCs w:val="20"/>
              </w:rPr>
              <w:t xml:space="preserve"> and good practices to manage the following wastes streams:</w:t>
            </w:r>
          </w:p>
          <w:p w14:paraId="73331501" w14:textId="77777777" w:rsidR="004A0E58" w:rsidRPr="00AE798F" w:rsidRDefault="004A0E58" w:rsidP="00325EF5">
            <w:pPr>
              <w:widowControl w:val="0"/>
              <w:tabs>
                <w:tab w:val="left" w:pos="720"/>
              </w:tabs>
              <w:autoSpaceDE w:val="0"/>
              <w:autoSpaceDN w:val="0"/>
              <w:ind w:right="-63"/>
              <w:jc w:val="left"/>
              <w:rPr>
                <w:rFonts w:cs="Arial"/>
                <w:sz w:val="20"/>
                <w:szCs w:val="20"/>
              </w:rPr>
            </w:pPr>
          </w:p>
          <w:p w14:paraId="409D9C4F" w14:textId="77777777" w:rsidR="004026FB" w:rsidRPr="00AE798F" w:rsidRDefault="004026FB" w:rsidP="00AC4A1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End-of-Life Vehicles: dismantling in the workshops of transport operator companies (or outsourced services) and separation of components for reuse (spare parts) and recycling (iron scrap, non-ferrous).</w:t>
            </w:r>
          </w:p>
          <w:p w14:paraId="699A4A7C" w14:textId="77777777" w:rsidR="004026FB" w:rsidRPr="00AE798F" w:rsidRDefault="004026FB" w:rsidP="00AC4A1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Lead-acid batteries: recycling or export for recycling, under the existing regulations.</w:t>
            </w:r>
          </w:p>
          <w:p w14:paraId="60722CE7" w14:textId="2112934A" w:rsidR="004026FB" w:rsidRPr="00AE798F" w:rsidRDefault="004026FB" w:rsidP="00AC4A1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Used tyres: recycling and/or energy recovery, under the existing MMPs.</w:t>
            </w:r>
          </w:p>
          <w:p w14:paraId="5AEAADA3" w14:textId="77777777" w:rsidR="004026FB" w:rsidRPr="00AE798F" w:rsidRDefault="004026FB" w:rsidP="00AC4A1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Oils and lubricants: energy recovery.</w:t>
            </w:r>
          </w:p>
          <w:p w14:paraId="4B1A2BE7" w14:textId="77777777" w:rsidR="004026FB" w:rsidRPr="00AE798F" w:rsidRDefault="004026FB" w:rsidP="00666810">
            <w:pPr>
              <w:widowControl w:val="0"/>
              <w:tabs>
                <w:tab w:val="left" w:pos="290"/>
              </w:tabs>
              <w:autoSpaceDE w:val="0"/>
              <w:autoSpaceDN w:val="0"/>
              <w:ind w:left="6" w:right="-63"/>
              <w:jc w:val="left"/>
              <w:rPr>
                <w:rFonts w:cs="Arial"/>
                <w:sz w:val="20"/>
                <w:szCs w:val="20"/>
              </w:rPr>
            </w:pPr>
          </w:p>
          <w:p w14:paraId="76DF61C2" w14:textId="77777777" w:rsidR="004026FB" w:rsidRDefault="004026FB" w:rsidP="00A63D46">
            <w:pPr>
              <w:widowControl w:val="0"/>
              <w:tabs>
                <w:tab w:val="left" w:pos="290"/>
              </w:tabs>
              <w:autoSpaceDE w:val="0"/>
              <w:autoSpaceDN w:val="0"/>
              <w:ind w:left="6" w:right="-63"/>
              <w:jc w:val="left"/>
              <w:rPr>
                <w:rFonts w:cs="Arial"/>
                <w:sz w:val="20"/>
                <w:szCs w:val="20"/>
              </w:rPr>
            </w:pPr>
            <w:r w:rsidRPr="00AE798F">
              <w:rPr>
                <w:rFonts w:cs="Arial"/>
                <w:sz w:val="20"/>
                <w:szCs w:val="20"/>
              </w:rPr>
              <w:t>As per national legislation, metal scrap and lead battery recycling facilities must be licenced by the competent environmental authority to operate and be subject to specific environmental management plans and reporting requirements.</w:t>
            </w:r>
          </w:p>
          <w:p w14:paraId="50358D95" w14:textId="69D87F6C" w:rsidR="006E020F" w:rsidRPr="00AE798F" w:rsidRDefault="006E020F" w:rsidP="006E020F">
            <w:pPr>
              <w:rPr>
                <w:rFonts w:cs="Arial"/>
                <w:sz w:val="20"/>
                <w:szCs w:val="20"/>
              </w:rPr>
            </w:pPr>
            <w:r w:rsidRPr="00102605">
              <w:rPr>
                <w:rFonts w:cs="Arial"/>
                <w:sz w:val="20"/>
                <w:szCs w:val="20"/>
              </w:rPr>
              <w:t xml:space="preserve">The </w:t>
            </w:r>
            <w:r>
              <w:rPr>
                <w:rFonts w:cs="Arial"/>
                <w:sz w:val="20"/>
                <w:szCs w:val="20"/>
              </w:rPr>
              <w:t xml:space="preserve">subproject’s </w:t>
            </w:r>
            <w:r w:rsidRPr="00102605">
              <w:rPr>
                <w:rFonts w:cs="Arial"/>
                <w:sz w:val="20"/>
                <w:szCs w:val="20"/>
              </w:rPr>
              <w:t xml:space="preserve">ESMP must contain adequate contingency and emergency response plans, satisfactory to CAF. </w:t>
            </w:r>
          </w:p>
        </w:tc>
      </w:tr>
      <w:tr w:rsidR="008D5B78" w:rsidRPr="00AE798F" w14:paraId="0C7B3F00" w14:textId="77777777" w:rsidTr="00801EEC">
        <w:trPr>
          <w:trHeight w:val="134"/>
        </w:trPr>
        <w:tc>
          <w:tcPr>
            <w:tcW w:w="1664" w:type="dxa"/>
            <w:vMerge/>
          </w:tcPr>
          <w:p w14:paraId="124FF0E3" w14:textId="77777777" w:rsidR="004026FB" w:rsidRPr="00AE798F" w:rsidRDefault="004026FB" w:rsidP="00E55DCC">
            <w:pPr>
              <w:widowControl w:val="0"/>
              <w:tabs>
                <w:tab w:val="left" w:pos="720"/>
              </w:tabs>
              <w:autoSpaceDE w:val="0"/>
              <w:autoSpaceDN w:val="0"/>
              <w:ind w:right="-63"/>
              <w:jc w:val="left"/>
              <w:rPr>
                <w:rFonts w:cs="Arial"/>
                <w:sz w:val="20"/>
                <w:szCs w:val="20"/>
              </w:rPr>
            </w:pPr>
          </w:p>
        </w:tc>
        <w:tc>
          <w:tcPr>
            <w:tcW w:w="1568" w:type="dxa"/>
          </w:tcPr>
          <w:p w14:paraId="1FD8E6AC" w14:textId="285903FE" w:rsidR="004026FB" w:rsidRPr="00AE798F" w:rsidRDefault="004026FB" w:rsidP="00E55DCC">
            <w:pPr>
              <w:widowControl w:val="0"/>
              <w:tabs>
                <w:tab w:val="left" w:pos="720"/>
              </w:tabs>
              <w:autoSpaceDE w:val="0"/>
              <w:autoSpaceDN w:val="0"/>
              <w:ind w:right="-63"/>
              <w:jc w:val="left"/>
              <w:rPr>
                <w:rFonts w:cs="Arial"/>
                <w:sz w:val="20"/>
                <w:szCs w:val="20"/>
              </w:rPr>
            </w:pPr>
            <w:r w:rsidRPr="00AE798F">
              <w:rPr>
                <w:rFonts w:cs="Arial"/>
                <w:sz w:val="20"/>
                <w:szCs w:val="20"/>
              </w:rPr>
              <w:t xml:space="preserve">Social </w:t>
            </w:r>
          </w:p>
        </w:tc>
        <w:tc>
          <w:tcPr>
            <w:tcW w:w="3184" w:type="dxa"/>
          </w:tcPr>
          <w:p w14:paraId="5F16136C" w14:textId="7A9AB934" w:rsidR="004026FB" w:rsidRPr="00AE798F" w:rsidRDefault="00630A24" w:rsidP="004026FB">
            <w:pPr>
              <w:widowControl w:val="0"/>
              <w:tabs>
                <w:tab w:val="left" w:pos="720"/>
              </w:tabs>
              <w:autoSpaceDE w:val="0"/>
              <w:autoSpaceDN w:val="0"/>
              <w:ind w:right="-63"/>
              <w:jc w:val="left"/>
              <w:rPr>
                <w:rFonts w:cs="Arial"/>
                <w:sz w:val="20"/>
                <w:szCs w:val="20"/>
                <w:lang w:val="en-US"/>
              </w:rPr>
            </w:pPr>
            <w:r w:rsidRPr="00AE798F">
              <w:rPr>
                <w:rFonts w:cs="Arial"/>
                <w:sz w:val="20"/>
                <w:szCs w:val="20"/>
              </w:rPr>
              <w:t>Change in employment dynamics</w:t>
            </w:r>
            <w:r w:rsidRPr="00AE798F">
              <w:rPr>
                <w:rFonts w:cs="Arial"/>
                <w:sz w:val="20"/>
                <w:szCs w:val="20"/>
                <w:lang w:val="en-US"/>
              </w:rPr>
              <w:t xml:space="preserve"> and job </w:t>
            </w:r>
            <w:r w:rsidR="005E1F65" w:rsidRPr="00AE798F">
              <w:rPr>
                <w:rFonts w:cs="Arial"/>
                <w:sz w:val="20"/>
                <w:szCs w:val="20"/>
                <w:lang w:val="en-US"/>
              </w:rPr>
              <w:t>loss due to a change in skill-set requirements in the vehicle repair and maintenance services.</w:t>
            </w:r>
          </w:p>
        </w:tc>
        <w:tc>
          <w:tcPr>
            <w:tcW w:w="1092" w:type="dxa"/>
          </w:tcPr>
          <w:p w14:paraId="6CF40640" w14:textId="667B8E20" w:rsidR="004026FB" w:rsidRPr="00AE798F" w:rsidRDefault="00CA400A" w:rsidP="00E55DCC">
            <w:pPr>
              <w:widowControl w:val="0"/>
              <w:tabs>
                <w:tab w:val="left" w:pos="720"/>
              </w:tabs>
              <w:autoSpaceDE w:val="0"/>
              <w:autoSpaceDN w:val="0"/>
              <w:ind w:right="-63"/>
              <w:jc w:val="left"/>
              <w:rPr>
                <w:rFonts w:cs="Arial"/>
                <w:sz w:val="20"/>
                <w:szCs w:val="20"/>
              </w:rPr>
            </w:pPr>
            <w:r w:rsidRPr="00AE798F">
              <w:rPr>
                <w:rFonts w:cs="Arial"/>
                <w:sz w:val="20"/>
                <w:szCs w:val="20"/>
              </w:rPr>
              <w:t>Medium</w:t>
            </w:r>
          </w:p>
        </w:tc>
        <w:tc>
          <w:tcPr>
            <w:tcW w:w="5670" w:type="dxa"/>
          </w:tcPr>
          <w:p w14:paraId="7884EA81" w14:textId="5830681F" w:rsidR="004026FB" w:rsidRPr="00AE798F" w:rsidRDefault="005E1F65" w:rsidP="00E55DCC">
            <w:pPr>
              <w:widowControl w:val="0"/>
              <w:tabs>
                <w:tab w:val="left" w:pos="720"/>
              </w:tabs>
              <w:autoSpaceDE w:val="0"/>
              <w:autoSpaceDN w:val="0"/>
              <w:ind w:right="-63"/>
              <w:jc w:val="left"/>
              <w:rPr>
                <w:rFonts w:cs="Arial"/>
                <w:sz w:val="20"/>
                <w:szCs w:val="20"/>
              </w:rPr>
            </w:pPr>
            <w:r w:rsidRPr="00AE798F">
              <w:rPr>
                <w:rFonts w:cs="Arial"/>
                <w:sz w:val="20"/>
                <w:szCs w:val="20"/>
              </w:rPr>
              <w:t>There is not enough information available to determine the potential loss of labour for repair and maintenance tasks, due to the change in technology. Nevertheless, it is estimated that the impact of this reduction will be low.</w:t>
            </w:r>
          </w:p>
          <w:p w14:paraId="1792EF7C" w14:textId="77777777" w:rsidR="005E1F65" w:rsidRPr="00AE798F" w:rsidRDefault="005E1F65" w:rsidP="00E55DCC">
            <w:pPr>
              <w:widowControl w:val="0"/>
              <w:tabs>
                <w:tab w:val="left" w:pos="720"/>
              </w:tabs>
              <w:autoSpaceDE w:val="0"/>
              <w:autoSpaceDN w:val="0"/>
              <w:ind w:right="-63"/>
              <w:jc w:val="left"/>
              <w:rPr>
                <w:rFonts w:cs="Arial"/>
                <w:sz w:val="20"/>
                <w:szCs w:val="20"/>
              </w:rPr>
            </w:pPr>
          </w:p>
          <w:p w14:paraId="3903CCAC" w14:textId="157DA1C2" w:rsidR="005E1F65" w:rsidRPr="00AE798F" w:rsidRDefault="005E1F65" w:rsidP="00496943">
            <w:pPr>
              <w:widowControl w:val="0"/>
              <w:tabs>
                <w:tab w:val="left" w:pos="720"/>
              </w:tabs>
              <w:autoSpaceDE w:val="0"/>
              <w:autoSpaceDN w:val="0"/>
              <w:ind w:right="-63"/>
              <w:jc w:val="left"/>
              <w:rPr>
                <w:rFonts w:cs="Arial"/>
                <w:sz w:val="20"/>
                <w:szCs w:val="20"/>
              </w:rPr>
            </w:pPr>
            <w:r w:rsidRPr="00AE798F">
              <w:rPr>
                <w:rFonts w:cs="Arial"/>
                <w:sz w:val="20"/>
                <w:szCs w:val="20"/>
              </w:rPr>
              <w:t xml:space="preserve">Under Component 1, the Program will also provide technical assistance to help implement specialized training </w:t>
            </w:r>
            <w:r w:rsidR="00CA2410" w:rsidRPr="00AE798F">
              <w:rPr>
                <w:rFonts w:cs="Arial"/>
                <w:sz w:val="20"/>
                <w:szCs w:val="20"/>
              </w:rPr>
              <w:t xml:space="preserve">and retraining </w:t>
            </w:r>
            <w:r w:rsidRPr="00AE798F">
              <w:rPr>
                <w:rFonts w:cs="Arial"/>
                <w:sz w:val="20"/>
                <w:szCs w:val="20"/>
              </w:rPr>
              <w:t xml:space="preserve">schemes </w:t>
            </w:r>
            <w:r w:rsidR="00CA2410" w:rsidRPr="00AE798F">
              <w:rPr>
                <w:rFonts w:cs="Arial"/>
                <w:sz w:val="20"/>
                <w:szCs w:val="20"/>
              </w:rPr>
              <w:t>to help workers acquire the necessary new skills to transition to the new market demands</w:t>
            </w:r>
            <w:r w:rsidR="00496943" w:rsidRPr="00AE798F">
              <w:rPr>
                <w:rFonts w:cs="Arial"/>
                <w:sz w:val="20"/>
                <w:szCs w:val="20"/>
              </w:rPr>
              <w:t>, as well as retirement schemes of maintenance staff working on fossil engines taking advantage of natural staff fluctuation.</w:t>
            </w:r>
            <w:r w:rsidR="00CA2410" w:rsidRPr="00AE798F">
              <w:rPr>
                <w:rFonts w:cs="Arial"/>
                <w:sz w:val="20"/>
                <w:szCs w:val="20"/>
              </w:rPr>
              <w:t xml:space="preserve"> </w:t>
            </w:r>
          </w:p>
          <w:p w14:paraId="79F14864" w14:textId="77777777" w:rsidR="005E1F65" w:rsidRPr="00AE798F" w:rsidRDefault="005E1F65" w:rsidP="005E1F65">
            <w:pPr>
              <w:widowControl w:val="0"/>
              <w:tabs>
                <w:tab w:val="left" w:pos="720"/>
              </w:tabs>
              <w:autoSpaceDE w:val="0"/>
              <w:autoSpaceDN w:val="0"/>
              <w:ind w:right="-63"/>
              <w:jc w:val="left"/>
              <w:rPr>
                <w:rFonts w:cs="Arial"/>
                <w:sz w:val="20"/>
                <w:szCs w:val="20"/>
              </w:rPr>
            </w:pPr>
          </w:p>
          <w:p w14:paraId="0A902F31" w14:textId="77777777" w:rsidR="00CA2410" w:rsidRPr="00AE798F" w:rsidRDefault="00CA2410" w:rsidP="005E1F65">
            <w:pPr>
              <w:widowControl w:val="0"/>
              <w:tabs>
                <w:tab w:val="left" w:pos="720"/>
              </w:tabs>
              <w:autoSpaceDE w:val="0"/>
              <w:autoSpaceDN w:val="0"/>
              <w:ind w:right="-63"/>
              <w:jc w:val="left"/>
              <w:rPr>
                <w:rFonts w:cs="Arial"/>
                <w:sz w:val="20"/>
                <w:szCs w:val="20"/>
              </w:rPr>
            </w:pPr>
            <w:r w:rsidRPr="00AE798F">
              <w:rPr>
                <w:rFonts w:cs="Arial"/>
                <w:sz w:val="20"/>
                <w:szCs w:val="20"/>
              </w:rPr>
              <w:t>I</w:t>
            </w:r>
            <w:r w:rsidR="005E1F65" w:rsidRPr="00AE798F">
              <w:rPr>
                <w:rFonts w:cs="Arial"/>
                <w:sz w:val="20"/>
                <w:szCs w:val="20"/>
              </w:rPr>
              <w:t xml:space="preserve">nternational provider/seller of the units </w:t>
            </w:r>
            <w:r w:rsidRPr="00AE798F">
              <w:rPr>
                <w:rFonts w:cs="Arial"/>
                <w:sz w:val="20"/>
                <w:szCs w:val="20"/>
              </w:rPr>
              <w:t xml:space="preserve">will </w:t>
            </w:r>
            <w:r w:rsidR="005E1F65" w:rsidRPr="00AE798F">
              <w:rPr>
                <w:rFonts w:cs="Arial"/>
                <w:sz w:val="20"/>
                <w:szCs w:val="20"/>
              </w:rPr>
              <w:t>provide the national dealer with training and tools that the operators will also exploit.</w:t>
            </w:r>
            <w:r w:rsidRPr="00AE798F">
              <w:rPr>
                <w:rFonts w:cs="Arial"/>
                <w:sz w:val="20"/>
                <w:szCs w:val="20"/>
              </w:rPr>
              <w:t xml:space="preserve"> </w:t>
            </w:r>
            <w:r w:rsidR="005E1F65" w:rsidRPr="00AE798F">
              <w:rPr>
                <w:rFonts w:cs="Arial"/>
                <w:sz w:val="20"/>
                <w:szCs w:val="20"/>
              </w:rPr>
              <w:t>Operator companies will prioritize training existing personnel, though hiring new staff may eventually be necessary.</w:t>
            </w:r>
          </w:p>
          <w:p w14:paraId="3CA0FC2B" w14:textId="77777777" w:rsidR="00CA2410" w:rsidRPr="00AE798F" w:rsidRDefault="00CA2410" w:rsidP="005E1F65">
            <w:pPr>
              <w:widowControl w:val="0"/>
              <w:tabs>
                <w:tab w:val="left" w:pos="720"/>
              </w:tabs>
              <w:autoSpaceDE w:val="0"/>
              <w:autoSpaceDN w:val="0"/>
              <w:ind w:right="-63"/>
              <w:jc w:val="left"/>
              <w:rPr>
                <w:rFonts w:cs="Arial"/>
                <w:sz w:val="20"/>
                <w:szCs w:val="20"/>
              </w:rPr>
            </w:pPr>
          </w:p>
          <w:p w14:paraId="68A0B44B" w14:textId="586F3068" w:rsidR="005E1F65" w:rsidRPr="00AE798F" w:rsidRDefault="005E1F65" w:rsidP="005E1F65">
            <w:pPr>
              <w:widowControl w:val="0"/>
              <w:tabs>
                <w:tab w:val="left" w:pos="720"/>
              </w:tabs>
              <w:autoSpaceDE w:val="0"/>
              <w:autoSpaceDN w:val="0"/>
              <w:ind w:right="-63"/>
              <w:jc w:val="left"/>
              <w:rPr>
                <w:rFonts w:cs="Arial"/>
                <w:sz w:val="20"/>
                <w:szCs w:val="20"/>
              </w:rPr>
            </w:pPr>
            <w:r w:rsidRPr="00AE798F">
              <w:rPr>
                <w:rFonts w:cs="Arial"/>
                <w:sz w:val="20"/>
                <w:szCs w:val="20"/>
              </w:rPr>
              <w:t>Both scenarios constitute an opportunity for integrating gender and equality concepts into the training.</w:t>
            </w:r>
          </w:p>
        </w:tc>
      </w:tr>
      <w:tr w:rsidR="008D5B78" w:rsidRPr="00AE798F" w14:paraId="19052600" w14:textId="77777777" w:rsidTr="00630A24">
        <w:trPr>
          <w:trHeight w:val="134"/>
        </w:trPr>
        <w:tc>
          <w:tcPr>
            <w:tcW w:w="1664" w:type="dxa"/>
          </w:tcPr>
          <w:p w14:paraId="13E0EFC4" w14:textId="77777777" w:rsidR="00630A24" w:rsidRPr="00AE798F" w:rsidRDefault="00630A24" w:rsidP="00630A24">
            <w:pPr>
              <w:widowControl w:val="0"/>
              <w:tabs>
                <w:tab w:val="left" w:pos="720"/>
              </w:tabs>
              <w:autoSpaceDE w:val="0"/>
              <w:autoSpaceDN w:val="0"/>
              <w:ind w:right="-63"/>
              <w:jc w:val="left"/>
              <w:rPr>
                <w:rFonts w:cs="Arial"/>
                <w:sz w:val="20"/>
                <w:szCs w:val="20"/>
              </w:rPr>
            </w:pPr>
          </w:p>
        </w:tc>
        <w:tc>
          <w:tcPr>
            <w:tcW w:w="1568" w:type="dxa"/>
          </w:tcPr>
          <w:p w14:paraId="375AF065" w14:textId="5EA234EA" w:rsidR="00630A24" w:rsidRPr="00AE798F" w:rsidRDefault="00630A24" w:rsidP="00630A24">
            <w:pPr>
              <w:widowControl w:val="0"/>
              <w:tabs>
                <w:tab w:val="left" w:pos="720"/>
              </w:tabs>
              <w:autoSpaceDE w:val="0"/>
              <w:autoSpaceDN w:val="0"/>
              <w:ind w:right="-63"/>
              <w:jc w:val="left"/>
              <w:rPr>
                <w:rFonts w:cs="Arial"/>
                <w:sz w:val="20"/>
                <w:szCs w:val="20"/>
              </w:rPr>
            </w:pPr>
            <w:r w:rsidRPr="00AE798F">
              <w:rPr>
                <w:rFonts w:cs="Arial"/>
                <w:sz w:val="20"/>
                <w:szCs w:val="20"/>
              </w:rPr>
              <w:t>Social</w:t>
            </w:r>
          </w:p>
        </w:tc>
        <w:tc>
          <w:tcPr>
            <w:tcW w:w="3184" w:type="dxa"/>
            <w:vAlign w:val="center"/>
          </w:tcPr>
          <w:p w14:paraId="36C52364" w14:textId="2ADB1E43" w:rsidR="00630A24" w:rsidRPr="00AE798F" w:rsidRDefault="00630A24" w:rsidP="00630A24">
            <w:pPr>
              <w:widowControl w:val="0"/>
              <w:tabs>
                <w:tab w:val="left" w:pos="720"/>
              </w:tabs>
              <w:autoSpaceDE w:val="0"/>
              <w:autoSpaceDN w:val="0"/>
              <w:ind w:right="-63"/>
              <w:jc w:val="left"/>
              <w:rPr>
                <w:rFonts w:cs="Arial"/>
                <w:sz w:val="20"/>
                <w:szCs w:val="20"/>
                <w:lang w:val="en-US"/>
              </w:rPr>
            </w:pPr>
            <w:r w:rsidRPr="00AE798F">
              <w:rPr>
                <w:rFonts w:cs="Arial"/>
                <w:sz w:val="20"/>
                <w:szCs w:val="20"/>
              </w:rPr>
              <w:t>Increase in road accidents: Due to the low or non-existent noise of electric vehicles during operation, the occurrence of accidents with other road users is likely.</w:t>
            </w:r>
          </w:p>
        </w:tc>
        <w:tc>
          <w:tcPr>
            <w:tcW w:w="1092" w:type="dxa"/>
          </w:tcPr>
          <w:p w14:paraId="43EB7EDB" w14:textId="4956FFEF" w:rsidR="00630A24" w:rsidRPr="00AE798F" w:rsidRDefault="00CA400A" w:rsidP="00630A24">
            <w:pPr>
              <w:widowControl w:val="0"/>
              <w:tabs>
                <w:tab w:val="left" w:pos="720"/>
              </w:tabs>
              <w:autoSpaceDE w:val="0"/>
              <w:autoSpaceDN w:val="0"/>
              <w:ind w:right="-63"/>
              <w:jc w:val="left"/>
              <w:rPr>
                <w:rFonts w:cs="Arial"/>
                <w:sz w:val="20"/>
                <w:szCs w:val="20"/>
              </w:rPr>
            </w:pPr>
            <w:r w:rsidRPr="00AE798F">
              <w:rPr>
                <w:rFonts w:cs="Arial"/>
                <w:sz w:val="20"/>
                <w:szCs w:val="20"/>
              </w:rPr>
              <w:t>Medium</w:t>
            </w:r>
          </w:p>
        </w:tc>
        <w:tc>
          <w:tcPr>
            <w:tcW w:w="5670" w:type="dxa"/>
          </w:tcPr>
          <w:p w14:paraId="1C53CFF3" w14:textId="34EB9D83" w:rsidR="00630A24" w:rsidRPr="00AE798F" w:rsidRDefault="00630A24" w:rsidP="004A0E5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 xml:space="preserve">Inform the community and road actors through campaigns, of the precautions needed with the circulation of vehicles with low or no noise generation. </w:t>
            </w:r>
          </w:p>
          <w:p w14:paraId="565D558C" w14:textId="6983B39B" w:rsidR="00630A24" w:rsidRPr="00AE798F" w:rsidRDefault="00630A24" w:rsidP="004A0E5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Include this aspect in the training programs aimed at drivers, and thus allow the development of dexterity skills during vehicle operation.</w:t>
            </w:r>
          </w:p>
          <w:p w14:paraId="3C6E74FF" w14:textId="77FE3590" w:rsidR="005E6447" w:rsidRPr="00AE798F" w:rsidRDefault="00630A24" w:rsidP="004A0E5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Select manufacturers that incorporate sound alert systems in vehicles, which alert pedestrians, cyclists and / or the public, as well as people with visual disabilities who need a sound stimulus to become aware of the proximity of a vehicle.</w:t>
            </w:r>
          </w:p>
        </w:tc>
      </w:tr>
      <w:tr w:rsidR="00F16364" w:rsidRPr="00AE798F" w14:paraId="4EDEF7E0" w14:textId="77777777" w:rsidTr="00630A24">
        <w:trPr>
          <w:trHeight w:val="134"/>
        </w:trPr>
        <w:tc>
          <w:tcPr>
            <w:tcW w:w="1664" w:type="dxa"/>
          </w:tcPr>
          <w:p w14:paraId="5310348F" w14:textId="77777777" w:rsidR="00F16364" w:rsidRPr="00AE798F" w:rsidRDefault="00F16364" w:rsidP="00630A24">
            <w:pPr>
              <w:widowControl w:val="0"/>
              <w:tabs>
                <w:tab w:val="left" w:pos="720"/>
              </w:tabs>
              <w:autoSpaceDE w:val="0"/>
              <w:autoSpaceDN w:val="0"/>
              <w:ind w:right="-63"/>
              <w:jc w:val="left"/>
              <w:rPr>
                <w:rFonts w:cs="Arial"/>
                <w:sz w:val="20"/>
                <w:szCs w:val="20"/>
              </w:rPr>
            </w:pPr>
          </w:p>
        </w:tc>
        <w:tc>
          <w:tcPr>
            <w:tcW w:w="1568" w:type="dxa"/>
          </w:tcPr>
          <w:p w14:paraId="2FBD39A7" w14:textId="47452E78" w:rsidR="00F16364" w:rsidRPr="00AE798F" w:rsidRDefault="008345E7" w:rsidP="00630A24">
            <w:pPr>
              <w:widowControl w:val="0"/>
              <w:tabs>
                <w:tab w:val="left" w:pos="720"/>
              </w:tabs>
              <w:autoSpaceDE w:val="0"/>
              <w:autoSpaceDN w:val="0"/>
              <w:ind w:right="-63"/>
              <w:jc w:val="left"/>
              <w:rPr>
                <w:rFonts w:cs="Arial"/>
                <w:sz w:val="20"/>
                <w:szCs w:val="20"/>
              </w:rPr>
            </w:pPr>
            <w:r>
              <w:rPr>
                <w:rFonts w:cs="Arial"/>
                <w:sz w:val="20"/>
                <w:szCs w:val="20"/>
              </w:rPr>
              <w:t>Social</w:t>
            </w:r>
          </w:p>
        </w:tc>
        <w:tc>
          <w:tcPr>
            <w:tcW w:w="3184" w:type="dxa"/>
            <w:vAlign w:val="center"/>
          </w:tcPr>
          <w:p w14:paraId="09597E22" w14:textId="0DE535DA" w:rsidR="00F16364" w:rsidRPr="00AE798F" w:rsidRDefault="008345E7" w:rsidP="00630A24">
            <w:pPr>
              <w:widowControl w:val="0"/>
              <w:tabs>
                <w:tab w:val="left" w:pos="720"/>
              </w:tabs>
              <w:autoSpaceDE w:val="0"/>
              <w:autoSpaceDN w:val="0"/>
              <w:ind w:right="-63"/>
              <w:jc w:val="left"/>
              <w:rPr>
                <w:rFonts w:cs="Arial"/>
                <w:sz w:val="20"/>
                <w:szCs w:val="20"/>
              </w:rPr>
            </w:pPr>
            <w:r>
              <w:rPr>
                <w:rFonts w:cs="Arial"/>
                <w:sz w:val="20"/>
                <w:szCs w:val="20"/>
              </w:rPr>
              <w:t xml:space="preserve">SEAH risk </w:t>
            </w:r>
            <w:r w:rsidR="001F6349">
              <w:rPr>
                <w:rFonts w:cs="Arial"/>
                <w:sz w:val="20"/>
                <w:szCs w:val="20"/>
              </w:rPr>
              <w:t>in the public transport sector</w:t>
            </w:r>
            <w:r w:rsidR="00B83DF8">
              <w:rPr>
                <w:rFonts w:cs="Arial"/>
                <w:sz w:val="20"/>
                <w:szCs w:val="20"/>
              </w:rPr>
              <w:t xml:space="preserve"> “bus transport”</w:t>
            </w:r>
            <w:r w:rsidR="001F6349">
              <w:rPr>
                <w:rFonts w:cs="Arial"/>
                <w:sz w:val="20"/>
                <w:szCs w:val="20"/>
              </w:rPr>
              <w:t xml:space="preserve"> </w:t>
            </w:r>
          </w:p>
        </w:tc>
        <w:tc>
          <w:tcPr>
            <w:tcW w:w="1092" w:type="dxa"/>
          </w:tcPr>
          <w:p w14:paraId="4948963F" w14:textId="59BF88B2" w:rsidR="00F16364" w:rsidRPr="00AE798F" w:rsidRDefault="00774F5C" w:rsidP="00630A24">
            <w:pPr>
              <w:widowControl w:val="0"/>
              <w:tabs>
                <w:tab w:val="left" w:pos="720"/>
              </w:tabs>
              <w:autoSpaceDE w:val="0"/>
              <w:autoSpaceDN w:val="0"/>
              <w:ind w:right="-63"/>
              <w:jc w:val="left"/>
              <w:rPr>
                <w:rFonts w:cs="Arial"/>
                <w:sz w:val="20"/>
                <w:szCs w:val="20"/>
              </w:rPr>
            </w:pPr>
            <w:r>
              <w:rPr>
                <w:rFonts w:cs="Arial"/>
                <w:sz w:val="20"/>
                <w:szCs w:val="20"/>
              </w:rPr>
              <w:t>Medium</w:t>
            </w:r>
          </w:p>
        </w:tc>
        <w:tc>
          <w:tcPr>
            <w:tcW w:w="5670" w:type="dxa"/>
          </w:tcPr>
          <w:p w14:paraId="147C7742" w14:textId="77777777" w:rsidR="00F16364" w:rsidRDefault="00774F5C" w:rsidP="001D5B6A">
            <w:pPr>
              <w:pStyle w:val="Prrafodelista"/>
              <w:widowControl w:val="0"/>
              <w:numPr>
                <w:ilvl w:val="0"/>
                <w:numId w:val="11"/>
              </w:numPr>
              <w:tabs>
                <w:tab w:val="left" w:pos="720"/>
              </w:tabs>
              <w:autoSpaceDE w:val="0"/>
              <w:autoSpaceDN w:val="0"/>
              <w:ind w:right="-63"/>
              <w:jc w:val="left"/>
              <w:rPr>
                <w:rFonts w:cs="Arial"/>
                <w:sz w:val="20"/>
                <w:szCs w:val="20"/>
              </w:rPr>
            </w:pPr>
            <w:r>
              <w:rPr>
                <w:rFonts w:cs="Arial"/>
                <w:sz w:val="20"/>
                <w:szCs w:val="20"/>
              </w:rPr>
              <w:t xml:space="preserve">Establish </w:t>
            </w:r>
            <w:r w:rsidR="00725505">
              <w:rPr>
                <w:rFonts w:cs="Arial"/>
                <w:sz w:val="20"/>
                <w:szCs w:val="20"/>
              </w:rPr>
              <w:t>a</w:t>
            </w:r>
            <w:r w:rsidR="001D5B6A">
              <w:rPr>
                <w:rFonts w:cs="Arial"/>
                <w:sz w:val="20"/>
                <w:szCs w:val="20"/>
              </w:rPr>
              <w:t>n</w:t>
            </w:r>
            <w:r w:rsidR="00725505">
              <w:rPr>
                <w:rFonts w:cs="Arial"/>
                <w:sz w:val="20"/>
                <w:szCs w:val="20"/>
              </w:rPr>
              <w:t xml:space="preserve"> adequate regulatory framework for </w:t>
            </w:r>
            <w:r w:rsidR="001D5B6A">
              <w:rPr>
                <w:rFonts w:cs="Arial"/>
                <w:sz w:val="20"/>
                <w:szCs w:val="20"/>
              </w:rPr>
              <w:t xml:space="preserve">public </w:t>
            </w:r>
            <w:r w:rsidR="00725505">
              <w:rPr>
                <w:rFonts w:cs="Arial"/>
                <w:sz w:val="20"/>
                <w:szCs w:val="20"/>
              </w:rPr>
              <w:t>transport</w:t>
            </w:r>
            <w:r w:rsidR="001D5B6A">
              <w:rPr>
                <w:rFonts w:cs="Arial"/>
                <w:sz w:val="20"/>
                <w:szCs w:val="20"/>
              </w:rPr>
              <w:t xml:space="preserve"> operating companies to</w:t>
            </w:r>
            <w:r w:rsidR="00BB60FA">
              <w:rPr>
                <w:rFonts w:cs="Arial"/>
                <w:sz w:val="20"/>
                <w:szCs w:val="20"/>
              </w:rPr>
              <w:t xml:space="preserve"> implement </w:t>
            </w:r>
            <w:r w:rsidR="00500F0B">
              <w:rPr>
                <w:rFonts w:cs="Arial"/>
                <w:sz w:val="20"/>
                <w:szCs w:val="20"/>
              </w:rPr>
              <w:t xml:space="preserve">gender </w:t>
            </w:r>
            <w:r w:rsidR="005753B0">
              <w:rPr>
                <w:rFonts w:cs="Arial"/>
                <w:sz w:val="20"/>
                <w:szCs w:val="20"/>
              </w:rPr>
              <w:t xml:space="preserve">policies </w:t>
            </w:r>
            <w:r w:rsidR="0093514E">
              <w:rPr>
                <w:rFonts w:cs="Arial"/>
                <w:sz w:val="20"/>
                <w:szCs w:val="20"/>
              </w:rPr>
              <w:t xml:space="preserve">preventing </w:t>
            </w:r>
            <w:r w:rsidR="00F4513E">
              <w:rPr>
                <w:rFonts w:cs="Arial"/>
                <w:sz w:val="20"/>
                <w:szCs w:val="20"/>
              </w:rPr>
              <w:t xml:space="preserve">SEAH </w:t>
            </w:r>
            <w:r w:rsidR="002A15EB">
              <w:rPr>
                <w:rFonts w:cs="Arial"/>
                <w:sz w:val="20"/>
                <w:szCs w:val="20"/>
              </w:rPr>
              <w:t xml:space="preserve">and </w:t>
            </w:r>
            <w:r w:rsidR="0063598F">
              <w:rPr>
                <w:rFonts w:cs="Arial"/>
                <w:sz w:val="20"/>
                <w:szCs w:val="20"/>
              </w:rPr>
              <w:t>GB</w:t>
            </w:r>
            <w:r w:rsidR="00840CCD">
              <w:rPr>
                <w:rFonts w:cs="Arial"/>
                <w:sz w:val="20"/>
                <w:szCs w:val="20"/>
              </w:rPr>
              <w:t>V</w:t>
            </w:r>
            <w:r w:rsidR="00FC3BC9">
              <w:rPr>
                <w:rFonts w:cs="Arial"/>
                <w:sz w:val="20"/>
                <w:szCs w:val="20"/>
              </w:rPr>
              <w:t>.</w:t>
            </w:r>
            <w:r w:rsidR="001D5B6A">
              <w:rPr>
                <w:rFonts w:cs="Arial"/>
                <w:sz w:val="20"/>
                <w:szCs w:val="20"/>
              </w:rPr>
              <w:t xml:space="preserve"> </w:t>
            </w:r>
            <w:r w:rsidR="001D5B6A" w:rsidRPr="00FC3BC9">
              <w:rPr>
                <w:rFonts w:cs="Arial"/>
                <w:sz w:val="20"/>
                <w:szCs w:val="20"/>
              </w:rPr>
              <w:t xml:space="preserve"> </w:t>
            </w:r>
            <w:r w:rsidR="00725505" w:rsidRPr="00FC3BC9">
              <w:rPr>
                <w:rFonts w:cs="Arial"/>
                <w:sz w:val="20"/>
                <w:szCs w:val="20"/>
              </w:rPr>
              <w:t xml:space="preserve">  </w:t>
            </w:r>
          </w:p>
          <w:p w14:paraId="3DBD88EB" w14:textId="77777777" w:rsidR="00823B43" w:rsidRDefault="00823B43" w:rsidP="001D5B6A">
            <w:pPr>
              <w:pStyle w:val="Prrafodelista"/>
              <w:widowControl w:val="0"/>
              <w:numPr>
                <w:ilvl w:val="0"/>
                <w:numId w:val="11"/>
              </w:numPr>
              <w:tabs>
                <w:tab w:val="left" w:pos="720"/>
              </w:tabs>
              <w:autoSpaceDE w:val="0"/>
              <w:autoSpaceDN w:val="0"/>
              <w:ind w:right="-63"/>
              <w:jc w:val="left"/>
              <w:rPr>
                <w:rFonts w:cs="Arial"/>
                <w:sz w:val="20"/>
                <w:szCs w:val="20"/>
              </w:rPr>
            </w:pPr>
            <w:r w:rsidRPr="0091355B">
              <w:rPr>
                <w:rFonts w:cs="Arial"/>
                <w:sz w:val="20"/>
                <w:szCs w:val="20"/>
              </w:rPr>
              <w:t>Have in place a fully functional grievance redress mechanism, (GRM)</w:t>
            </w:r>
          </w:p>
          <w:p w14:paraId="444259DE" w14:textId="77777777" w:rsidR="00C84155" w:rsidRDefault="00C84155" w:rsidP="001D5B6A">
            <w:pPr>
              <w:pStyle w:val="Prrafodelista"/>
              <w:widowControl w:val="0"/>
              <w:numPr>
                <w:ilvl w:val="0"/>
                <w:numId w:val="11"/>
              </w:numPr>
              <w:tabs>
                <w:tab w:val="left" w:pos="720"/>
              </w:tabs>
              <w:autoSpaceDE w:val="0"/>
              <w:autoSpaceDN w:val="0"/>
              <w:ind w:right="-63"/>
              <w:jc w:val="left"/>
              <w:rPr>
                <w:rFonts w:cs="Arial"/>
                <w:sz w:val="20"/>
                <w:szCs w:val="20"/>
              </w:rPr>
            </w:pPr>
            <w:r w:rsidRPr="002240E0">
              <w:rPr>
                <w:rFonts w:cs="Arial"/>
                <w:sz w:val="20"/>
                <w:szCs w:val="20"/>
              </w:rPr>
              <w:t>Have in place a survivor centred and gender-responsive GRM for SEAH-specific complaints/ incidents.</w:t>
            </w:r>
          </w:p>
          <w:p w14:paraId="3F92A789" w14:textId="77777777" w:rsidR="00CA343A" w:rsidRDefault="00E84E77" w:rsidP="001D5B6A">
            <w:pPr>
              <w:pStyle w:val="Prrafodelista"/>
              <w:widowControl w:val="0"/>
              <w:numPr>
                <w:ilvl w:val="0"/>
                <w:numId w:val="11"/>
              </w:numPr>
              <w:tabs>
                <w:tab w:val="left" w:pos="720"/>
              </w:tabs>
              <w:autoSpaceDE w:val="0"/>
              <w:autoSpaceDN w:val="0"/>
              <w:ind w:right="-63"/>
              <w:jc w:val="left"/>
              <w:rPr>
                <w:rFonts w:cs="Arial"/>
                <w:sz w:val="20"/>
                <w:szCs w:val="20"/>
              </w:rPr>
            </w:pPr>
            <w:r w:rsidRPr="00E84E77">
              <w:rPr>
                <w:rFonts w:cs="Arial"/>
                <w:sz w:val="20"/>
                <w:szCs w:val="20"/>
              </w:rPr>
              <w:t xml:space="preserve">Promote shared responsibility through awareness raising campaigns and creating spaces free of </w:t>
            </w:r>
            <w:r w:rsidR="00597D64" w:rsidRPr="00E84E77">
              <w:rPr>
                <w:rFonts w:cs="Arial"/>
                <w:sz w:val="20"/>
                <w:szCs w:val="20"/>
              </w:rPr>
              <w:t>gender-based</w:t>
            </w:r>
            <w:r w:rsidRPr="00E84E77">
              <w:rPr>
                <w:rFonts w:cs="Arial"/>
                <w:sz w:val="20"/>
                <w:szCs w:val="20"/>
              </w:rPr>
              <w:t xml:space="preserve"> violence, such as sexual harassment and discrimination.</w:t>
            </w:r>
          </w:p>
          <w:p w14:paraId="00B8DC10" w14:textId="45D7C7DD" w:rsidR="00597D64" w:rsidRPr="00FC3BC9" w:rsidRDefault="00597D64" w:rsidP="001D5B6A">
            <w:pPr>
              <w:pStyle w:val="Prrafodelista"/>
              <w:widowControl w:val="0"/>
              <w:numPr>
                <w:ilvl w:val="0"/>
                <w:numId w:val="11"/>
              </w:numPr>
              <w:tabs>
                <w:tab w:val="left" w:pos="720"/>
              </w:tabs>
              <w:autoSpaceDE w:val="0"/>
              <w:autoSpaceDN w:val="0"/>
              <w:ind w:right="-63"/>
              <w:jc w:val="left"/>
              <w:rPr>
                <w:rFonts w:cs="Arial"/>
                <w:sz w:val="20"/>
                <w:szCs w:val="20"/>
              </w:rPr>
            </w:pPr>
            <w:r w:rsidRPr="00597D64">
              <w:rPr>
                <w:rFonts w:cs="Arial"/>
                <w:sz w:val="20"/>
                <w:szCs w:val="20"/>
              </w:rPr>
              <w:t>Training of transport operating companies so they can be able to support the detection of such situations.</w:t>
            </w:r>
          </w:p>
        </w:tc>
      </w:tr>
    </w:tbl>
    <w:p w14:paraId="00F104A3" w14:textId="14409338" w:rsidR="00DF753A" w:rsidRDefault="00DF753A" w:rsidP="00DF753A">
      <w:pPr>
        <w:spacing w:after="0"/>
      </w:pPr>
    </w:p>
    <w:p w14:paraId="055C7D27" w14:textId="77E28752" w:rsidR="004E4C8E" w:rsidRDefault="004E4C8E" w:rsidP="00406472">
      <w:pPr>
        <w:spacing w:after="0"/>
      </w:pPr>
      <w:r w:rsidRPr="00102605">
        <w:t xml:space="preserve">Table </w:t>
      </w:r>
      <w:r>
        <w:fldChar w:fldCharType="begin"/>
      </w:r>
      <w:r>
        <w:instrText>SEQ Table \* ARABIC</w:instrText>
      </w:r>
      <w:r>
        <w:fldChar w:fldCharType="separate"/>
      </w:r>
      <w:r w:rsidR="00DF753A">
        <w:rPr>
          <w:noProof/>
        </w:rPr>
        <w:t>10</w:t>
      </w:r>
      <w:r>
        <w:fldChar w:fldCharType="end"/>
      </w:r>
      <w:r w:rsidRPr="00102605">
        <w:t xml:space="preserve">: Construction phase: small scale </w:t>
      </w:r>
      <w:r w:rsidR="002B7971">
        <w:t>infrastructure works</w:t>
      </w:r>
      <w:r w:rsidR="002B7971" w:rsidRPr="00102605">
        <w:t xml:space="preserve"> </w:t>
      </w:r>
      <w:r w:rsidRPr="00102605">
        <w:t xml:space="preserve">may be required for </w:t>
      </w:r>
      <w:r w:rsidR="00887AD8">
        <w:t xml:space="preserve">the installation of </w:t>
      </w:r>
      <w:r w:rsidRPr="00102605">
        <w:t>charging stations, grid connection</w:t>
      </w:r>
      <w:r w:rsidR="000832AE">
        <w:t>s</w:t>
      </w:r>
      <w:r w:rsidRPr="00102605">
        <w:t xml:space="preserve"> and/or required bus depot upgrades</w:t>
      </w:r>
      <w:r w:rsidR="000832AE">
        <w:t xml:space="preserve"> (smart facilities):</w:t>
      </w:r>
    </w:p>
    <w:p w14:paraId="0577EA0C" w14:textId="02053FF5" w:rsidR="00101210" w:rsidRDefault="00101210" w:rsidP="00406472">
      <w:pPr>
        <w:spacing w:after="0"/>
      </w:pPr>
    </w:p>
    <w:tbl>
      <w:tblPr>
        <w:tblStyle w:val="Tablaconcuadrcula"/>
        <w:tblW w:w="13178" w:type="dxa"/>
        <w:tblLook w:val="04A0" w:firstRow="1" w:lastRow="0" w:firstColumn="1" w:lastColumn="0" w:noHBand="0" w:noVBand="1"/>
      </w:tblPr>
      <w:tblGrid>
        <w:gridCol w:w="2129"/>
        <w:gridCol w:w="1606"/>
        <w:gridCol w:w="2984"/>
        <w:gridCol w:w="1295"/>
        <w:gridCol w:w="5164"/>
      </w:tblGrid>
      <w:tr w:rsidR="00B706F3" w:rsidRPr="00496943" w14:paraId="5D5B0088" w14:textId="77777777" w:rsidTr="0091355B">
        <w:trPr>
          <w:trHeight w:val="307"/>
          <w:tblHeader/>
        </w:trPr>
        <w:tc>
          <w:tcPr>
            <w:tcW w:w="2129" w:type="dxa"/>
            <w:shd w:val="clear" w:color="auto" w:fill="D9E2F3" w:themeFill="accent1" w:themeFillTint="33"/>
            <w:vAlign w:val="center"/>
          </w:tcPr>
          <w:p w14:paraId="73A4E330" w14:textId="018A8C96" w:rsidR="00DB67B3" w:rsidRPr="00AE798F" w:rsidRDefault="00DB67B3" w:rsidP="00E55DCC">
            <w:pPr>
              <w:widowControl w:val="0"/>
              <w:tabs>
                <w:tab w:val="left" w:pos="720"/>
              </w:tabs>
              <w:autoSpaceDE w:val="0"/>
              <w:autoSpaceDN w:val="0"/>
              <w:ind w:right="-63"/>
              <w:jc w:val="center"/>
              <w:rPr>
                <w:rFonts w:cs="Arial"/>
                <w:b/>
                <w:sz w:val="20"/>
                <w:szCs w:val="20"/>
              </w:rPr>
            </w:pPr>
            <w:r w:rsidRPr="00AE798F">
              <w:rPr>
                <w:rFonts w:cs="Arial"/>
                <w:b/>
                <w:sz w:val="20"/>
                <w:szCs w:val="20"/>
              </w:rPr>
              <w:t>Activity</w:t>
            </w:r>
          </w:p>
        </w:tc>
        <w:tc>
          <w:tcPr>
            <w:tcW w:w="1606" w:type="dxa"/>
            <w:shd w:val="clear" w:color="auto" w:fill="D9E2F3" w:themeFill="accent1" w:themeFillTint="33"/>
            <w:vAlign w:val="center"/>
          </w:tcPr>
          <w:p w14:paraId="17AC99CF" w14:textId="16344684" w:rsidR="00DB67B3" w:rsidRPr="00AE798F" w:rsidRDefault="00DB67B3" w:rsidP="00E55DCC">
            <w:pPr>
              <w:widowControl w:val="0"/>
              <w:tabs>
                <w:tab w:val="left" w:pos="720"/>
              </w:tabs>
              <w:autoSpaceDE w:val="0"/>
              <w:autoSpaceDN w:val="0"/>
              <w:ind w:right="-63"/>
              <w:jc w:val="center"/>
              <w:rPr>
                <w:rFonts w:cs="Arial"/>
                <w:b/>
                <w:sz w:val="20"/>
                <w:szCs w:val="20"/>
              </w:rPr>
            </w:pPr>
            <w:r w:rsidRPr="00AE798F">
              <w:rPr>
                <w:rFonts w:cs="Arial"/>
                <w:b/>
                <w:sz w:val="20"/>
                <w:szCs w:val="20"/>
              </w:rPr>
              <w:t xml:space="preserve">Environmental </w:t>
            </w:r>
            <w:r w:rsidR="007D0C8B">
              <w:rPr>
                <w:rFonts w:cs="Arial"/>
                <w:b/>
                <w:sz w:val="20"/>
                <w:szCs w:val="20"/>
              </w:rPr>
              <w:t xml:space="preserve">and social </w:t>
            </w:r>
            <w:r w:rsidRPr="00AE798F">
              <w:rPr>
                <w:rFonts w:cs="Arial"/>
                <w:b/>
                <w:sz w:val="20"/>
                <w:szCs w:val="20"/>
              </w:rPr>
              <w:t>aspects</w:t>
            </w:r>
          </w:p>
        </w:tc>
        <w:tc>
          <w:tcPr>
            <w:tcW w:w="2984" w:type="dxa"/>
            <w:shd w:val="clear" w:color="auto" w:fill="D9E2F3" w:themeFill="accent1" w:themeFillTint="33"/>
            <w:vAlign w:val="center"/>
          </w:tcPr>
          <w:p w14:paraId="539546EE" w14:textId="77777777" w:rsidR="00DB67B3" w:rsidRPr="00AE798F" w:rsidRDefault="00DB67B3" w:rsidP="00E55DCC">
            <w:pPr>
              <w:widowControl w:val="0"/>
              <w:tabs>
                <w:tab w:val="left" w:pos="720"/>
              </w:tabs>
              <w:autoSpaceDE w:val="0"/>
              <w:autoSpaceDN w:val="0"/>
              <w:ind w:right="-63"/>
              <w:jc w:val="center"/>
              <w:rPr>
                <w:rFonts w:cs="Arial"/>
                <w:b/>
                <w:sz w:val="20"/>
                <w:szCs w:val="20"/>
              </w:rPr>
            </w:pPr>
            <w:r w:rsidRPr="00AE798F">
              <w:rPr>
                <w:rFonts w:cs="Arial"/>
                <w:b/>
                <w:sz w:val="20"/>
                <w:szCs w:val="20"/>
              </w:rPr>
              <w:t>Potential Adverse impacts</w:t>
            </w:r>
          </w:p>
        </w:tc>
        <w:tc>
          <w:tcPr>
            <w:tcW w:w="1295" w:type="dxa"/>
            <w:shd w:val="clear" w:color="auto" w:fill="D9E2F3" w:themeFill="accent1" w:themeFillTint="33"/>
            <w:vAlign w:val="center"/>
          </w:tcPr>
          <w:p w14:paraId="20CF0329" w14:textId="77777777" w:rsidR="00DB67B3" w:rsidRPr="00AE798F" w:rsidRDefault="00DB67B3" w:rsidP="00E55DCC">
            <w:pPr>
              <w:widowControl w:val="0"/>
              <w:tabs>
                <w:tab w:val="left" w:pos="720"/>
              </w:tabs>
              <w:autoSpaceDE w:val="0"/>
              <w:autoSpaceDN w:val="0"/>
              <w:ind w:right="-63"/>
              <w:jc w:val="center"/>
              <w:rPr>
                <w:rFonts w:cs="Arial"/>
                <w:b/>
                <w:sz w:val="20"/>
                <w:szCs w:val="20"/>
              </w:rPr>
            </w:pPr>
            <w:r w:rsidRPr="00AE798F">
              <w:rPr>
                <w:rFonts w:cs="Arial"/>
                <w:b/>
                <w:sz w:val="20"/>
                <w:szCs w:val="20"/>
              </w:rPr>
              <w:t>Risk</w:t>
            </w:r>
          </w:p>
        </w:tc>
        <w:tc>
          <w:tcPr>
            <w:tcW w:w="5164" w:type="dxa"/>
            <w:shd w:val="clear" w:color="auto" w:fill="D9E2F3" w:themeFill="accent1" w:themeFillTint="33"/>
            <w:vAlign w:val="center"/>
          </w:tcPr>
          <w:p w14:paraId="40B9088C" w14:textId="77777777" w:rsidR="00DB67B3" w:rsidRPr="00AE798F" w:rsidRDefault="00DB67B3" w:rsidP="00E55DCC">
            <w:pPr>
              <w:widowControl w:val="0"/>
              <w:tabs>
                <w:tab w:val="left" w:pos="720"/>
              </w:tabs>
              <w:autoSpaceDE w:val="0"/>
              <w:autoSpaceDN w:val="0"/>
              <w:ind w:right="-63"/>
              <w:jc w:val="center"/>
              <w:rPr>
                <w:rFonts w:cs="Arial"/>
                <w:b/>
                <w:sz w:val="20"/>
                <w:szCs w:val="20"/>
              </w:rPr>
            </w:pPr>
            <w:r w:rsidRPr="00AE798F">
              <w:rPr>
                <w:rFonts w:cs="Arial"/>
                <w:b/>
                <w:sz w:val="20"/>
                <w:szCs w:val="20"/>
              </w:rPr>
              <w:t>Potential Mitigation</w:t>
            </w:r>
            <w:r w:rsidRPr="00AE798F">
              <w:rPr>
                <w:rFonts w:cs="Arial"/>
                <w:b/>
                <w:spacing w:val="-1"/>
                <w:sz w:val="20"/>
                <w:szCs w:val="20"/>
              </w:rPr>
              <w:t xml:space="preserve"> </w:t>
            </w:r>
            <w:r w:rsidRPr="00AE798F">
              <w:rPr>
                <w:rFonts w:cs="Arial"/>
                <w:b/>
                <w:sz w:val="20"/>
                <w:szCs w:val="20"/>
              </w:rPr>
              <w:t>Measures</w:t>
            </w:r>
          </w:p>
        </w:tc>
      </w:tr>
      <w:tr w:rsidR="002835DC" w:rsidRPr="00496943" w14:paraId="0F58CD3C" w14:textId="77777777" w:rsidTr="0091355B">
        <w:trPr>
          <w:trHeight w:val="134"/>
        </w:trPr>
        <w:tc>
          <w:tcPr>
            <w:tcW w:w="2129" w:type="dxa"/>
            <w:vMerge w:val="restart"/>
          </w:tcPr>
          <w:p w14:paraId="5F0D9CBA" w14:textId="70C9D9D8" w:rsidR="0052579F" w:rsidRPr="00AE798F" w:rsidRDefault="00630A24" w:rsidP="00335135">
            <w:pPr>
              <w:widowControl w:val="0"/>
              <w:tabs>
                <w:tab w:val="left" w:pos="720"/>
              </w:tabs>
              <w:autoSpaceDE w:val="0"/>
              <w:autoSpaceDN w:val="0"/>
              <w:ind w:right="-63"/>
              <w:jc w:val="left"/>
              <w:rPr>
                <w:rFonts w:cs="Arial"/>
                <w:sz w:val="20"/>
                <w:szCs w:val="20"/>
              </w:rPr>
            </w:pPr>
            <w:r w:rsidRPr="00AE798F">
              <w:rPr>
                <w:rFonts w:cs="Arial"/>
                <w:sz w:val="20"/>
                <w:szCs w:val="20"/>
              </w:rPr>
              <w:t xml:space="preserve">Construction and </w:t>
            </w:r>
            <w:r w:rsidR="0052579F" w:rsidRPr="00AE798F">
              <w:rPr>
                <w:rFonts w:cs="Arial"/>
                <w:sz w:val="20"/>
                <w:szCs w:val="20"/>
              </w:rPr>
              <w:t>Installation of charging stations, grid connections and/or required bus depot upgrades (smart facilities):</w:t>
            </w:r>
          </w:p>
        </w:tc>
        <w:tc>
          <w:tcPr>
            <w:tcW w:w="1606" w:type="dxa"/>
            <w:vMerge w:val="restart"/>
          </w:tcPr>
          <w:p w14:paraId="66558F6A" w14:textId="77777777" w:rsidR="0052579F" w:rsidRPr="00AE798F" w:rsidRDefault="0052579F" w:rsidP="00335135">
            <w:pPr>
              <w:widowControl w:val="0"/>
              <w:tabs>
                <w:tab w:val="left" w:pos="720"/>
              </w:tabs>
              <w:autoSpaceDE w:val="0"/>
              <w:autoSpaceDN w:val="0"/>
              <w:ind w:right="-63"/>
              <w:jc w:val="left"/>
              <w:rPr>
                <w:rFonts w:cs="Arial"/>
                <w:sz w:val="20"/>
                <w:szCs w:val="20"/>
              </w:rPr>
            </w:pPr>
            <w:r w:rsidRPr="00AE798F">
              <w:rPr>
                <w:rFonts w:cs="Arial"/>
                <w:sz w:val="20"/>
                <w:szCs w:val="20"/>
              </w:rPr>
              <w:t>Ground preparation and initial installations</w:t>
            </w:r>
          </w:p>
          <w:p w14:paraId="28426496" w14:textId="7B6BCC57" w:rsidR="0052579F" w:rsidRPr="00AE798F" w:rsidRDefault="0052579F" w:rsidP="00335135">
            <w:pPr>
              <w:widowControl w:val="0"/>
              <w:tabs>
                <w:tab w:val="left" w:pos="720"/>
              </w:tabs>
              <w:autoSpaceDE w:val="0"/>
              <w:autoSpaceDN w:val="0"/>
              <w:ind w:right="-63"/>
              <w:jc w:val="left"/>
              <w:rPr>
                <w:rFonts w:cs="Arial"/>
                <w:sz w:val="20"/>
                <w:szCs w:val="20"/>
              </w:rPr>
            </w:pPr>
            <w:r w:rsidRPr="00AE798F">
              <w:rPr>
                <w:rFonts w:cs="Arial"/>
                <w:sz w:val="20"/>
                <w:szCs w:val="20"/>
              </w:rPr>
              <w:t>Physical</w:t>
            </w:r>
          </w:p>
        </w:tc>
        <w:tc>
          <w:tcPr>
            <w:tcW w:w="2984" w:type="dxa"/>
          </w:tcPr>
          <w:p w14:paraId="5F48F31C" w14:textId="599FEFDA" w:rsidR="0052579F" w:rsidRPr="00AE798F" w:rsidRDefault="0052579F" w:rsidP="00335135">
            <w:pPr>
              <w:widowControl w:val="0"/>
              <w:tabs>
                <w:tab w:val="left" w:pos="720"/>
              </w:tabs>
              <w:autoSpaceDE w:val="0"/>
              <w:autoSpaceDN w:val="0"/>
              <w:ind w:right="-63"/>
              <w:jc w:val="left"/>
              <w:rPr>
                <w:rFonts w:cs="Arial"/>
                <w:sz w:val="20"/>
                <w:szCs w:val="20"/>
              </w:rPr>
            </w:pPr>
            <w:r w:rsidRPr="00AE798F">
              <w:rPr>
                <w:rFonts w:cs="Arial"/>
                <w:sz w:val="20"/>
                <w:szCs w:val="20"/>
              </w:rPr>
              <w:t>Decrease in vegetation cover: During the execution of this activity, a modification of the plant physiognomy and a decrease in biomass can be caused.</w:t>
            </w:r>
          </w:p>
        </w:tc>
        <w:tc>
          <w:tcPr>
            <w:tcW w:w="1295" w:type="dxa"/>
          </w:tcPr>
          <w:p w14:paraId="0CA367B2" w14:textId="2B39FD1F" w:rsidR="0052579F" w:rsidRPr="00AE798F" w:rsidRDefault="0052579F" w:rsidP="00335135">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0F909BF3" w14:textId="14C95568" w:rsidR="0052579F" w:rsidRPr="00AE798F" w:rsidRDefault="0052579F"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Carry out stripping and removal of vegetation only in previously demarcated and authorized areas.</w:t>
            </w:r>
          </w:p>
          <w:p w14:paraId="39BB8435" w14:textId="082A761A" w:rsidR="0052579F" w:rsidRPr="00AE798F" w:rsidRDefault="0052579F"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 xml:space="preserve">The felling of trees will not be carried out unless prior authorization is given by the competent environmental authority. </w:t>
            </w:r>
          </w:p>
          <w:p w14:paraId="26C8B022" w14:textId="60A2E35D" w:rsidR="0052579F" w:rsidRPr="00AE798F" w:rsidRDefault="0052579F" w:rsidP="001A4725">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Carry out the stripping in such a way that the correct extraction of the organic layer of the soil is guaranteed without it being mixed with the sterile material. Dispose of these materials correctly for storage and subsequent use, if required, in revegetation processes.</w:t>
            </w:r>
          </w:p>
        </w:tc>
      </w:tr>
      <w:tr w:rsidR="002835DC" w:rsidRPr="00496943" w14:paraId="2C977F94" w14:textId="77777777" w:rsidTr="0091355B">
        <w:trPr>
          <w:trHeight w:val="134"/>
        </w:trPr>
        <w:tc>
          <w:tcPr>
            <w:tcW w:w="2129" w:type="dxa"/>
            <w:vMerge/>
          </w:tcPr>
          <w:p w14:paraId="723E3A76" w14:textId="77777777" w:rsidR="0052579F" w:rsidRPr="00873187" w:rsidRDefault="0052579F" w:rsidP="00335135">
            <w:pPr>
              <w:widowControl w:val="0"/>
              <w:tabs>
                <w:tab w:val="left" w:pos="720"/>
              </w:tabs>
              <w:autoSpaceDE w:val="0"/>
              <w:autoSpaceDN w:val="0"/>
              <w:ind w:right="-63"/>
              <w:jc w:val="left"/>
              <w:rPr>
                <w:rFonts w:cs="Arial"/>
                <w:sz w:val="20"/>
                <w:szCs w:val="20"/>
              </w:rPr>
            </w:pPr>
          </w:p>
        </w:tc>
        <w:tc>
          <w:tcPr>
            <w:tcW w:w="1606" w:type="dxa"/>
            <w:vMerge/>
          </w:tcPr>
          <w:p w14:paraId="5855A56B" w14:textId="31CB7BB5" w:rsidR="0052579F" w:rsidRPr="00873187" w:rsidRDefault="0052579F" w:rsidP="00335135">
            <w:pPr>
              <w:widowControl w:val="0"/>
              <w:tabs>
                <w:tab w:val="left" w:pos="720"/>
              </w:tabs>
              <w:autoSpaceDE w:val="0"/>
              <w:autoSpaceDN w:val="0"/>
              <w:ind w:right="-63"/>
              <w:jc w:val="left"/>
              <w:rPr>
                <w:rFonts w:cs="Arial"/>
                <w:sz w:val="20"/>
                <w:szCs w:val="20"/>
              </w:rPr>
            </w:pPr>
          </w:p>
        </w:tc>
        <w:tc>
          <w:tcPr>
            <w:tcW w:w="2984" w:type="dxa"/>
          </w:tcPr>
          <w:p w14:paraId="68B7F114" w14:textId="67C15C74" w:rsidR="0052579F" w:rsidRPr="00873187" w:rsidRDefault="0052579F" w:rsidP="00335135">
            <w:pPr>
              <w:widowControl w:val="0"/>
              <w:tabs>
                <w:tab w:val="left" w:pos="720"/>
              </w:tabs>
              <w:autoSpaceDE w:val="0"/>
              <w:autoSpaceDN w:val="0"/>
              <w:ind w:right="-63"/>
              <w:jc w:val="left"/>
              <w:rPr>
                <w:rFonts w:cs="Arial"/>
                <w:sz w:val="20"/>
                <w:szCs w:val="20"/>
              </w:rPr>
            </w:pPr>
            <w:r w:rsidRPr="00873187">
              <w:rPr>
                <w:rFonts w:cs="Arial"/>
                <w:sz w:val="20"/>
                <w:szCs w:val="20"/>
              </w:rPr>
              <w:t>Modification in the soil structure: Alteration in the physical, chemical, and biological characteristics and properties of the soil</w:t>
            </w:r>
          </w:p>
        </w:tc>
        <w:tc>
          <w:tcPr>
            <w:tcW w:w="1295" w:type="dxa"/>
          </w:tcPr>
          <w:p w14:paraId="73A88C17" w14:textId="20AD5178" w:rsidR="0052579F" w:rsidRPr="00873187" w:rsidRDefault="0052579F" w:rsidP="00335135">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241349EA" w14:textId="3C700EB1"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 Depending on the type of soil, periodic inspections should be carried out in search of cracks in the surface, eroded areas, underground water outcrops, leaning trees or any factor that suggests the possibility of a landslide.</w:t>
            </w:r>
          </w:p>
        </w:tc>
      </w:tr>
      <w:tr w:rsidR="002835DC" w:rsidRPr="00496943" w14:paraId="043EBEB8" w14:textId="77777777" w:rsidTr="0091355B">
        <w:trPr>
          <w:trHeight w:val="134"/>
        </w:trPr>
        <w:tc>
          <w:tcPr>
            <w:tcW w:w="2129" w:type="dxa"/>
            <w:vMerge/>
          </w:tcPr>
          <w:p w14:paraId="408C9F0F" w14:textId="77777777" w:rsidR="0052579F" w:rsidRPr="00873187" w:rsidRDefault="0052579F" w:rsidP="00335135">
            <w:pPr>
              <w:widowControl w:val="0"/>
              <w:tabs>
                <w:tab w:val="left" w:pos="720"/>
              </w:tabs>
              <w:autoSpaceDE w:val="0"/>
              <w:autoSpaceDN w:val="0"/>
              <w:ind w:right="-63"/>
              <w:jc w:val="left"/>
              <w:rPr>
                <w:rFonts w:cs="Arial"/>
                <w:sz w:val="20"/>
                <w:szCs w:val="20"/>
              </w:rPr>
            </w:pPr>
          </w:p>
        </w:tc>
        <w:tc>
          <w:tcPr>
            <w:tcW w:w="1606" w:type="dxa"/>
            <w:vMerge/>
          </w:tcPr>
          <w:p w14:paraId="6DBED9D0" w14:textId="1646C4F1" w:rsidR="0052579F" w:rsidRPr="00873187" w:rsidRDefault="0052579F" w:rsidP="00335135">
            <w:pPr>
              <w:widowControl w:val="0"/>
              <w:tabs>
                <w:tab w:val="left" w:pos="720"/>
              </w:tabs>
              <w:autoSpaceDE w:val="0"/>
              <w:autoSpaceDN w:val="0"/>
              <w:ind w:right="-63"/>
              <w:jc w:val="left"/>
              <w:rPr>
                <w:rFonts w:cs="Arial"/>
                <w:sz w:val="20"/>
                <w:szCs w:val="20"/>
              </w:rPr>
            </w:pPr>
          </w:p>
        </w:tc>
        <w:tc>
          <w:tcPr>
            <w:tcW w:w="2984" w:type="dxa"/>
          </w:tcPr>
          <w:p w14:paraId="4DB6F8D2" w14:textId="0004BB51" w:rsidR="0052579F" w:rsidRPr="00873187" w:rsidRDefault="0052579F" w:rsidP="00335135">
            <w:pPr>
              <w:widowControl w:val="0"/>
              <w:tabs>
                <w:tab w:val="left" w:pos="720"/>
              </w:tabs>
              <w:autoSpaceDE w:val="0"/>
              <w:autoSpaceDN w:val="0"/>
              <w:ind w:right="-63"/>
              <w:jc w:val="left"/>
              <w:rPr>
                <w:rFonts w:cs="Arial"/>
                <w:sz w:val="20"/>
                <w:szCs w:val="20"/>
              </w:rPr>
            </w:pPr>
            <w:r w:rsidRPr="00873187">
              <w:rPr>
                <w:rFonts w:cs="Arial"/>
                <w:sz w:val="20"/>
                <w:szCs w:val="20"/>
              </w:rPr>
              <w:t>Alteration to air quality due to the emission of gases and / or particulate matter: Particulate material will be generated mainly due to the lack of vegetal cover of the ground; Additionally, emissions will be generated by the combustion processes of the equipment, vehicles and machinery used for the construction.</w:t>
            </w:r>
          </w:p>
        </w:tc>
        <w:tc>
          <w:tcPr>
            <w:tcW w:w="1295" w:type="dxa"/>
          </w:tcPr>
          <w:p w14:paraId="7F747EA8" w14:textId="7C8B4AE5" w:rsidR="0052579F" w:rsidRPr="00873187" w:rsidRDefault="0052579F" w:rsidP="00335135">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1B2E32D7" w14:textId="77777777" w:rsidR="0052579F" w:rsidRPr="00873187" w:rsidRDefault="0052579F" w:rsidP="00335135">
            <w:pPr>
              <w:widowControl w:val="0"/>
              <w:tabs>
                <w:tab w:val="left" w:pos="720"/>
              </w:tabs>
              <w:autoSpaceDE w:val="0"/>
              <w:autoSpaceDN w:val="0"/>
              <w:ind w:right="-63"/>
              <w:jc w:val="left"/>
              <w:rPr>
                <w:rFonts w:cs="Arial"/>
                <w:i/>
                <w:sz w:val="20"/>
                <w:szCs w:val="20"/>
              </w:rPr>
            </w:pPr>
            <w:r w:rsidRPr="00873187">
              <w:rPr>
                <w:rFonts w:cs="Arial"/>
                <w:i/>
                <w:sz w:val="20"/>
                <w:szCs w:val="20"/>
              </w:rPr>
              <w:t>Particulate matter mitigation:</w:t>
            </w:r>
          </w:p>
          <w:p w14:paraId="566111C2" w14:textId="781E21CB"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Periodic moistening should be done in areas devoid of plant cover.</w:t>
            </w:r>
          </w:p>
          <w:p w14:paraId="64F32D65" w14:textId="19C3F9AE"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Cover materials that are prone to generating particulate matter.</w:t>
            </w:r>
          </w:p>
          <w:p w14:paraId="60216770" w14:textId="6DA49A75"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the transport of materials and construction debris with the dump truck deck covered.</w:t>
            </w:r>
          </w:p>
          <w:p w14:paraId="7C8A152A" w14:textId="7B5651DA"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Make periodic monitoring of particulate material and comply with current environmental regulations that apply.</w:t>
            </w:r>
          </w:p>
          <w:p w14:paraId="585AF886" w14:textId="77777777" w:rsidR="0052579F" w:rsidRPr="00873187" w:rsidRDefault="0052579F" w:rsidP="00335135">
            <w:pPr>
              <w:widowControl w:val="0"/>
              <w:tabs>
                <w:tab w:val="left" w:pos="720"/>
              </w:tabs>
              <w:autoSpaceDE w:val="0"/>
              <w:autoSpaceDN w:val="0"/>
              <w:ind w:right="-63"/>
              <w:jc w:val="left"/>
              <w:rPr>
                <w:rFonts w:cs="Arial"/>
                <w:i/>
                <w:sz w:val="20"/>
                <w:szCs w:val="20"/>
              </w:rPr>
            </w:pPr>
            <w:r w:rsidRPr="00873187">
              <w:rPr>
                <w:rFonts w:cs="Arial"/>
                <w:i/>
                <w:sz w:val="20"/>
                <w:szCs w:val="20"/>
              </w:rPr>
              <w:t>Control of atmospheric emissions:</w:t>
            </w:r>
          </w:p>
          <w:p w14:paraId="34FD07B8" w14:textId="32894F2D"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Equipment, vehicles, and machinery that generate atmospheric emissions must remain on only for the time strictly necessary. These must be in good condition and the preventive maintenance schedule must be met and corrective maintenance must be carried out in a timely manner.</w:t>
            </w:r>
          </w:p>
          <w:p w14:paraId="332BE23A" w14:textId="54DC2507" w:rsidR="0052579F" w:rsidRPr="00873187" w:rsidRDefault="0052579F" w:rsidP="005C502B">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The current environmental regulations that apply must be complied with.</w:t>
            </w:r>
          </w:p>
        </w:tc>
      </w:tr>
      <w:tr w:rsidR="002835DC" w:rsidRPr="00496943" w14:paraId="7D63D4C8" w14:textId="77777777" w:rsidTr="0091355B">
        <w:trPr>
          <w:trHeight w:val="134"/>
        </w:trPr>
        <w:tc>
          <w:tcPr>
            <w:tcW w:w="2129" w:type="dxa"/>
            <w:vMerge/>
          </w:tcPr>
          <w:p w14:paraId="47B44FC8" w14:textId="77777777" w:rsidR="0052579F" w:rsidRPr="00873187" w:rsidRDefault="0052579F" w:rsidP="00335135">
            <w:pPr>
              <w:widowControl w:val="0"/>
              <w:tabs>
                <w:tab w:val="left" w:pos="720"/>
              </w:tabs>
              <w:autoSpaceDE w:val="0"/>
              <w:autoSpaceDN w:val="0"/>
              <w:ind w:right="-63"/>
              <w:jc w:val="left"/>
              <w:rPr>
                <w:rFonts w:cs="Arial"/>
                <w:sz w:val="20"/>
                <w:szCs w:val="20"/>
              </w:rPr>
            </w:pPr>
          </w:p>
        </w:tc>
        <w:tc>
          <w:tcPr>
            <w:tcW w:w="1606" w:type="dxa"/>
            <w:vMerge/>
          </w:tcPr>
          <w:p w14:paraId="6B659920" w14:textId="393C1631" w:rsidR="0052579F" w:rsidRPr="00873187" w:rsidRDefault="0052579F" w:rsidP="00335135">
            <w:pPr>
              <w:widowControl w:val="0"/>
              <w:tabs>
                <w:tab w:val="left" w:pos="720"/>
              </w:tabs>
              <w:autoSpaceDE w:val="0"/>
              <w:autoSpaceDN w:val="0"/>
              <w:ind w:right="-63"/>
              <w:jc w:val="left"/>
              <w:rPr>
                <w:rFonts w:cs="Arial"/>
                <w:sz w:val="20"/>
                <w:szCs w:val="20"/>
              </w:rPr>
            </w:pPr>
          </w:p>
        </w:tc>
        <w:tc>
          <w:tcPr>
            <w:tcW w:w="2984" w:type="dxa"/>
          </w:tcPr>
          <w:p w14:paraId="33B048ED" w14:textId="5092B87D" w:rsidR="0052579F" w:rsidRPr="00873187" w:rsidRDefault="0052579F" w:rsidP="00335135">
            <w:pPr>
              <w:widowControl w:val="0"/>
              <w:tabs>
                <w:tab w:val="left" w:pos="720"/>
              </w:tabs>
              <w:autoSpaceDE w:val="0"/>
              <w:autoSpaceDN w:val="0"/>
              <w:ind w:right="-63"/>
              <w:jc w:val="left"/>
              <w:rPr>
                <w:rFonts w:cs="Arial"/>
                <w:sz w:val="20"/>
                <w:szCs w:val="20"/>
              </w:rPr>
            </w:pPr>
            <w:r w:rsidRPr="00873187">
              <w:rPr>
                <w:rFonts w:cs="Arial"/>
                <w:sz w:val="20"/>
                <w:szCs w:val="20"/>
              </w:rPr>
              <w:t>Change in noise levels: Short-term and localized noise may be generated during construction, especially if underground cabling chosen</w:t>
            </w:r>
          </w:p>
        </w:tc>
        <w:tc>
          <w:tcPr>
            <w:tcW w:w="1295" w:type="dxa"/>
          </w:tcPr>
          <w:p w14:paraId="54A24ED6" w14:textId="77777777" w:rsidR="0052579F" w:rsidRPr="00873187" w:rsidRDefault="0052579F" w:rsidP="00335135">
            <w:pPr>
              <w:widowControl w:val="0"/>
              <w:tabs>
                <w:tab w:val="left" w:pos="720"/>
              </w:tabs>
              <w:autoSpaceDE w:val="0"/>
              <w:autoSpaceDN w:val="0"/>
              <w:ind w:right="-63"/>
              <w:jc w:val="left"/>
              <w:rPr>
                <w:rFonts w:cs="Arial"/>
                <w:sz w:val="20"/>
                <w:szCs w:val="20"/>
              </w:rPr>
            </w:pPr>
          </w:p>
          <w:p w14:paraId="0CEA7FF2" w14:textId="3120A3F9" w:rsidR="0052579F" w:rsidRPr="00873187" w:rsidRDefault="0052579F" w:rsidP="00335135">
            <w:pPr>
              <w:rPr>
                <w:rFonts w:cs="Arial"/>
                <w:sz w:val="20"/>
                <w:szCs w:val="20"/>
              </w:rPr>
            </w:pPr>
            <w:r w:rsidRPr="00873187">
              <w:rPr>
                <w:rFonts w:cs="Arial"/>
                <w:sz w:val="20"/>
                <w:szCs w:val="20"/>
              </w:rPr>
              <w:t>Low</w:t>
            </w:r>
          </w:p>
        </w:tc>
        <w:tc>
          <w:tcPr>
            <w:tcW w:w="5164" w:type="dxa"/>
          </w:tcPr>
          <w:p w14:paraId="18F07A8E" w14:textId="4FA62BB7" w:rsidR="0052579F" w:rsidRPr="00873187" w:rsidRDefault="0052579F" w:rsidP="00C81721">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Implement noise control barriers whenever possible.</w:t>
            </w:r>
          </w:p>
          <w:p w14:paraId="5C9A4771" w14:textId="4223EC21" w:rsidR="0052579F" w:rsidRPr="00873187" w:rsidRDefault="0052579F" w:rsidP="00C81721">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preventive and corrective maintenance of the equipment to minimize vibrations that can generate noise.</w:t>
            </w:r>
          </w:p>
          <w:p w14:paraId="25B39A30" w14:textId="1CF918E5" w:rsidR="0052579F" w:rsidRPr="00873187" w:rsidRDefault="0052579F" w:rsidP="00C81721">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Workers exposed to high noise levels should wear hearing protection.</w:t>
            </w:r>
          </w:p>
          <w:p w14:paraId="762ED8A2" w14:textId="5FA1CA50" w:rsidR="0052579F" w:rsidRPr="00873187" w:rsidRDefault="00222AD6" w:rsidP="00C81721">
            <w:pPr>
              <w:pStyle w:val="Prrafodelista"/>
              <w:widowControl w:val="0"/>
              <w:numPr>
                <w:ilvl w:val="0"/>
                <w:numId w:val="11"/>
              </w:numPr>
              <w:tabs>
                <w:tab w:val="left" w:pos="720"/>
              </w:tabs>
              <w:autoSpaceDE w:val="0"/>
              <w:autoSpaceDN w:val="0"/>
              <w:ind w:right="-63"/>
              <w:jc w:val="left"/>
              <w:rPr>
                <w:rFonts w:cs="Arial"/>
                <w:sz w:val="20"/>
                <w:szCs w:val="20"/>
              </w:rPr>
            </w:pPr>
            <w:r>
              <w:rPr>
                <w:rFonts w:cs="Arial"/>
                <w:sz w:val="20"/>
                <w:szCs w:val="20"/>
              </w:rPr>
              <w:t>C</w:t>
            </w:r>
            <w:r w:rsidR="0052579F" w:rsidRPr="00873187">
              <w:rPr>
                <w:rFonts w:cs="Arial"/>
                <w:sz w:val="20"/>
                <w:szCs w:val="20"/>
              </w:rPr>
              <w:t>omply with the maximum noise levels allowed in workplaces and in populated areas and generate awareness campaigns to mitigate sound pressure levels (if necessary).</w:t>
            </w:r>
          </w:p>
          <w:p w14:paraId="1B3B2435" w14:textId="62FA3261" w:rsidR="0052579F" w:rsidRPr="00873187" w:rsidRDefault="0052579F" w:rsidP="00C81721">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Enforcement of occupational health and safety (OHS) standards.</w:t>
            </w:r>
          </w:p>
        </w:tc>
      </w:tr>
      <w:tr w:rsidR="002835DC" w:rsidRPr="00496943" w14:paraId="1D174434" w14:textId="77777777" w:rsidTr="0091355B">
        <w:trPr>
          <w:trHeight w:val="134"/>
        </w:trPr>
        <w:tc>
          <w:tcPr>
            <w:tcW w:w="2129" w:type="dxa"/>
            <w:vMerge/>
          </w:tcPr>
          <w:p w14:paraId="17911074" w14:textId="61708D60" w:rsidR="0052579F" w:rsidRPr="00873187" w:rsidRDefault="0052579F" w:rsidP="00887AD8">
            <w:pPr>
              <w:widowControl w:val="0"/>
              <w:tabs>
                <w:tab w:val="left" w:pos="720"/>
              </w:tabs>
              <w:autoSpaceDE w:val="0"/>
              <w:autoSpaceDN w:val="0"/>
              <w:ind w:right="-63"/>
              <w:jc w:val="left"/>
              <w:rPr>
                <w:rFonts w:cs="Arial"/>
                <w:sz w:val="20"/>
                <w:szCs w:val="20"/>
              </w:rPr>
            </w:pPr>
          </w:p>
        </w:tc>
        <w:tc>
          <w:tcPr>
            <w:tcW w:w="1606" w:type="dxa"/>
          </w:tcPr>
          <w:p w14:paraId="3330E76A" w14:textId="310E4102" w:rsidR="0052579F" w:rsidRPr="00873187" w:rsidRDefault="0052579F" w:rsidP="00887AD8">
            <w:pPr>
              <w:widowControl w:val="0"/>
              <w:tabs>
                <w:tab w:val="left" w:pos="720"/>
              </w:tabs>
              <w:autoSpaceDE w:val="0"/>
              <w:autoSpaceDN w:val="0"/>
              <w:ind w:right="-63"/>
              <w:jc w:val="left"/>
              <w:rPr>
                <w:rFonts w:cs="Arial"/>
                <w:sz w:val="20"/>
                <w:szCs w:val="20"/>
              </w:rPr>
            </w:pPr>
            <w:r w:rsidRPr="00873187">
              <w:rPr>
                <w:rFonts w:cs="Arial"/>
                <w:sz w:val="20"/>
                <w:szCs w:val="20"/>
              </w:rPr>
              <w:t>Stripping and removal of vegetation</w:t>
            </w:r>
          </w:p>
        </w:tc>
        <w:tc>
          <w:tcPr>
            <w:tcW w:w="2984" w:type="dxa"/>
          </w:tcPr>
          <w:p w14:paraId="762AACF7" w14:textId="0AE0C2F8" w:rsidR="0052579F" w:rsidRPr="00873187" w:rsidRDefault="0052579F" w:rsidP="00887AD8">
            <w:pPr>
              <w:widowControl w:val="0"/>
              <w:tabs>
                <w:tab w:val="left" w:pos="720"/>
              </w:tabs>
              <w:autoSpaceDE w:val="0"/>
              <w:autoSpaceDN w:val="0"/>
              <w:ind w:right="-63"/>
              <w:jc w:val="left"/>
              <w:rPr>
                <w:rFonts w:cs="Arial"/>
                <w:sz w:val="20"/>
                <w:szCs w:val="20"/>
              </w:rPr>
            </w:pPr>
            <w:r w:rsidRPr="00873187">
              <w:rPr>
                <w:rFonts w:cs="Arial"/>
                <w:sz w:val="20"/>
                <w:szCs w:val="20"/>
              </w:rPr>
              <w:t>Decrease in vegetation cover: During the execution of this activity, a modification of the plant physiognomy and a decrease in biomass can be caused.</w:t>
            </w:r>
          </w:p>
        </w:tc>
        <w:tc>
          <w:tcPr>
            <w:tcW w:w="1295" w:type="dxa"/>
          </w:tcPr>
          <w:p w14:paraId="5E3A694E" w14:textId="753A80EF" w:rsidR="0052579F" w:rsidRPr="00873187" w:rsidRDefault="0052579F" w:rsidP="00887AD8">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574B20C2" w14:textId="3FC37A72" w:rsidR="0052579F" w:rsidRPr="00873187" w:rsidRDefault="0052579F" w:rsidP="00222AD6">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stripping and removal of vegetation only in previously demarcated and authorized areas.</w:t>
            </w:r>
          </w:p>
          <w:p w14:paraId="783494B4" w14:textId="4BF203D2" w:rsidR="0052579F" w:rsidRPr="00873187" w:rsidRDefault="0052579F" w:rsidP="00222AD6">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The felling of trees will not be carried out unless prior authorization is given by the competent environmental authority. </w:t>
            </w:r>
          </w:p>
          <w:p w14:paraId="01E6ACA2" w14:textId="1BAC44F8" w:rsidR="0052579F" w:rsidRPr="00873187" w:rsidRDefault="0052579F" w:rsidP="00222AD6">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the stripping in such a way that the correct extraction of the organic layer of the soil is guaranteed without it being mixed with the sterile material. Dispose of these materials correctly for storage and subsequent use, if required, in revegetation processes.</w:t>
            </w:r>
          </w:p>
        </w:tc>
      </w:tr>
      <w:tr w:rsidR="002835DC" w:rsidRPr="00496943" w14:paraId="22AAC0D9" w14:textId="77777777" w:rsidTr="0091355B">
        <w:trPr>
          <w:trHeight w:val="134"/>
        </w:trPr>
        <w:tc>
          <w:tcPr>
            <w:tcW w:w="2129" w:type="dxa"/>
            <w:vMerge/>
          </w:tcPr>
          <w:p w14:paraId="67CCBD29"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val="restart"/>
          </w:tcPr>
          <w:p w14:paraId="40669185" w14:textId="77777777"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Excavations, cutting and earthworks</w:t>
            </w:r>
          </w:p>
          <w:p w14:paraId="3481BC7E"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2984" w:type="dxa"/>
          </w:tcPr>
          <w:p w14:paraId="7028F09B" w14:textId="7E4FE974"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Alteration to air quality due to the emission of gases and / or particulate matter: Particulate material will be generated mainly due to the lack of vegetal cover of the ground; Additionally, emissions will be generated by the combustion processes of the equipment, vehicles and machinery used for the construction.</w:t>
            </w:r>
          </w:p>
        </w:tc>
        <w:tc>
          <w:tcPr>
            <w:tcW w:w="1295" w:type="dxa"/>
          </w:tcPr>
          <w:p w14:paraId="6DA36B68" w14:textId="189967A9"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70F331B2" w14:textId="77777777" w:rsidR="0052579F" w:rsidRPr="00873187" w:rsidRDefault="0052579F" w:rsidP="00C65A32">
            <w:pPr>
              <w:widowControl w:val="0"/>
              <w:tabs>
                <w:tab w:val="left" w:pos="720"/>
              </w:tabs>
              <w:autoSpaceDE w:val="0"/>
              <w:autoSpaceDN w:val="0"/>
              <w:ind w:right="-63"/>
              <w:jc w:val="left"/>
              <w:rPr>
                <w:rFonts w:cs="Arial"/>
                <w:i/>
                <w:sz w:val="20"/>
                <w:szCs w:val="20"/>
              </w:rPr>
            </w:pPr>
            <w:r w:rsidRPr="00873187">
              <w:rPr>
                <w:rFonts w:cs="Arial"/>
                <w:i/>
                <w:sz w:val="20"/>
                <w:szCs w:val="20"/>
              </w:rPr>
              <w:t>Particulate matter mitigation:</w:t>
            </w:r>
          </w:p>
          <w:p w14:paraId="3CC66E1A" w14:textId="7718EC97"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Periodic moistening should be done in areas devoid of plant cover.</w:t>
            </w:r>
          </w:p>
          <w:p w14:paraId="237ABFC7" w14:textId="3C2FD9F8"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Cover materials that are prone to generating particulate matter.</w:t>
            </w:r>
          </w:p>
          <w:p w14:paraId="371BF116" w14:textId="60EDE486"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the transport of materials and construction debris with the dump truck deck covered.</w:t>
            </w:r>
          </w:p>
          <w:p w14:paraId="45FCB0E2" w14:textId="36B45E5F"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Make periodic monitoring of particulate material and comply with current environmental regulations that apply.</w:t>
            </w:r>
          </w:p>
          <w:p w14:paraId="0A1AAA6B" w14:textId="77777777" w:rsidR="0052579F" w:rsidRPr="00873187" w:rsidRDefault="0052579F" w:rsidP="00C65A32">
            <w:pPr>
              <w:widowControl w:val="0"/>
              <w:tabs>
                <w:tab w:val="left" w:pos="720"/>
              </w:tabs>
              <w:autoSpaceDE w:val="0"/>
              <w:autoSpaceDN w:val="0"/>
              <w:ind w:right="-63"/>
              <w:jc w:val="left"/>
              <w:rPr>
                <w:rFonts w:cs="Arial"/>
                <w:i/>
                <w:sz w:val="20"/>
                <w:szCs w:val="20"/>
              </w:rPr>
            </w:pPr>
            <w:r w:rsidRPr="00873187">
              <w:rPr>
                <w:rFonts w:cs="Arial"/>
                <w:i/>
                <w:sz w:val="20"/>
                <w:szCs w:val="20"/>
              </w:rPr>
              <w:t>Control of atmospheric emissions:</w:t>
            </w:r>
          </w:p>
          <w:p w14:paraId="3C0875F5" w14:textId="2773E5BA"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Equipment, vehicles, and machinery that generate atmospheric emissions must remain on only for the time strictly necessary. These must be in good condition and the preventive maintenance schedule must be met and corrective maintenance must be carried out in a timely manner.</w:t>
            </w:r>
          </w:p>
          <w:p w14:paraId="315C73C9" w14:textId="6800803D"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The current environmental regulations that apply must be complied with.</w:t>
            </w:r>
          </w:p>
        </w:tc>
      </w:tr>
      <w:tr w:rsidR="002835DC" w:rsidRPr="00496943" w14:paraId="5E9C945B" w14:textId="77777777" w:rsidTr="0091355B">
        <w:trPr>
          <w:trHeight w:val="134"/>
        </w:trPr>
        <w:tc>
          <w:tcPr>
            <w:tcW w:w="2129" w:type="dxa"/>
            <w:vMerge/>
          </w:tcPr>
          <w:p w14:paraId="12BC5B69"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5F0B90D4"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2984" w:type="dxa"/>
          </w:tcPr>
          <w:p w14:paraId="59BFEC02" w14:textId="5ABBF1FD"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Change in noise levels: Short-term and localized noise may be generated during construction, especially if underground cabling chosen</w:t>
            </w:r>
          </w:p>
        </w:tc>
        <w:tc>
          <w:tcPr>
            <w:tcW w:w="1295" w:type="dxa"/>
          </w:tcPr>
          <w:p w14:paraId="32CDDE25" w14:textId="08989B97"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00602201" w14:textId="6995C24F"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Implement noise control barriers whenever possible.</w:t>
            </w:r>
          </w:p>
          <w:p w14:paraId="030524A2" w14:textId="5319D585"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preventive and corrective maintenance of the equipment to minimize vibrations that can generate noise.</w:t>
            </w:r>
          </w:p>
          <w:p w14:paraId="775B0B07" w14:textId="0EF5A390"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Workers exposed to high noise levels should wear hearing protection.</w:t>
            </w:r>
          </w:p>
          <w:p w14:paraId="1ED00DFB" w14:textId="41DB82E0" w:rsidR="0052579F" w:rsidRPr="00873187" w:rsidRDefault="0052579F" w:rsidP="00AF6144">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Comply with the maximum noise levels allowed in workplaces and in populated areas and generate awareness campaigns to mitigate sound pressure levels (if applicable).</w:t>
            </w:r>
          </w:p>
        </w:tc>
      </w:tr>
      <w:tr w:rsidR="002835DC" w:rsidRPr="00496943" w14:paraId="47B7D483" w14:textId="77777777" w:rsidTr="0091355B">
        <w:trPr>
          <w:trHeight w:val="134"/>
        </w:trPr>
        <w:tc>
          <w:tcPr>
            <w:tcW w:w="2129" w:type="dxa"/>
            <w:vMerge/>
          </w:tcPr>
          <w:p w14:paraId="4EB0A38B"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697EED6D"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2984" w:type="dxa"/>
          </w:tcPr>
          <w:p w14:paraId="456757F2" w14:textId="773F51A5"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Change in landscape: A change in the perception of the visual quality of the landscape will be generated, which, depending on the project execution area</w:t>
            </w:r>
          </w:p>
        </w:tc>
        <w:tc>
          <w:tcPr>
            <w:tcW w:w="1295" w:type="dxa"/>
          </w:tcPr>
          <w:p w14:paraId="28A5C797" w14:textId="0CA7B1FB"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28A011DE" w14:textId="23363398" w:rsidR="0052579F" w:rsidRPr="00873187" w:rsidRDefault="0052579F" w:rsidP="00414DE9">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Demarcate and signpost the areas authorized for construction, as well as the access roads.</w:t>
            </w:r>
          </w:p>
          <w:p w14:paraId="1FDA4BCA" w14:textId="7438DA5B" w:rsidR="0052579F" w:rsidRPr="00873187" w:rsidRDefault="0052579F" w:rsidP="00414DE9">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Organize the areas where solid and liquid waste is disposed of, </w:t>
            </w:r>
            <w:proofErr w:type="gramStart"/>
            <w:r w:rsidRPr="00873187">
              <w:rPr>
                <w:rFonts w:cs="Arial"/>
                <w:sz w:val="20"/>
                <w:szCs w:val="20"/>
              </w:rPr>
              <w:t>in order to</w:t>
            </w:r>
            <w:proofErr w:type="gramEnd"/>
            <w:r w:rsidRPr="00873187">
              <w:rPr>
                <w:rFonts w:cs="Arial"/>
                <w:sz w:val="20"/>
                <w:szCs w:val="20"/>
              </w:rPr>
              <w:t xml:space="preserve"> prevent it from invading the environment and affecting the landscape.</w:t>
            </w:r>
          </w:p>
          <w:p w14:paraId="7AE6BC2D" w14:textId="453B17BA" w:rsidR="0052579F" w:rsidRPr="00873187" w:rsidRDefault="0052579F" w:rsidP="00414DE9">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Cover the materials to prevent environmental elements such as rain, wind, and sun from contributing to the dispersion and visual pollution that may be generated by the inappropriate disposal of these materials.</w:t>
            </w:r>
          </w:p>
        </w:tc>
      </w:tr>
      <w:tr w:rsidR="002835DC" w:rsidRPr="00496943" w14:paraId="667DB5CB" w14:textId="77777777" w:rsidTr="0091355B">
        <w:trPr>
          <w:trHeight w:val="134"/>
        </w:trPr>
        <w:tc>
          <w:tcPr>
            <w:tcW w:w="2129" w:type="dxa"/>
            <w:vMerge/>
          </w:tcPr>
          <w:p w14:paraId="08680BE9"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1A9D9807"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2984" w:type="dxa"/>
          </w:tcPr>
          <w:p w14:paraId="2ADE08BB" w14:textId="532C25DE"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Increase in the generation of construction debris: construction and demolition debris will be generated during the entire construction activity, whether they are susceptible or not susceptible to use. Hazardous waste and ordinary waste are included.</w:t>
            </w:r>
          </w:p>
        </w:tc>
        <w:tc>
          <w:tcPr>
            <w:tcW w:w="1295" w:type="dxa"/>
          </w:tcPr>
          <w:p w14:paraId="2301ACA7" w14:textId="22BBF652"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7E51C294" w14:textId="249AB238" w:rsidR="0052579F" w:rsidRPr="00873187" w:rsidRDefault="0052579F" w:rsidP="005B57DE">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Perform the segregation in situ of the construction debris and deliver them to authorized companies for further use and / or final disposal by managers that are authorized by the competent environmental authority. </w:t>
            </w:r>
          </w:p>
          <w:p w14:paraId="21A29DDB" w14:textId="58AE7274" w:rsidR="0052579F" w:rsidRPr="00873187" w:rsidRDefault="0052579F" w:rsidP="005B57DE">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Whenever technically possible, reuse demolition debris on site.</w:t>
            </w:r>
          </w:p>
          <w:p w14:paraId="1249376C" w14:textId="6D394706" w:rsidR="0052579F" w:rsidRPr="00873187" w:rsidRDefault="0052579F" w:rsidP="005B57DE">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The final disposal of waste/debris will be carried out in the sites that have the current environmental permits, licenses or authorizations required by the regulatory entities.</w:t>
            </w:r>
          </w:p>
        </w:tc>
      </w:tr>
      <w:tr w:rsidR="002835DC" w:rsidRPr="00496943" w14:paraId="68D31CA5" w14:textId="77777777" w:rsidTr="0091355B">
        <w:trPr>
          <w:trHeight w:val="134"/>
        </w:trPr>
        <w:tc>
          <w:tcPr>
            <w:tcW w:w="2129" w:type="dxa"/>
            <w:vMerge/>
          </w:tcPr>
          <w:p w14:paraId="6D318522"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val="restart"/>
          </w:tcPr>
          <w:p w14:paraId="1FCD4C42" w14:textId="43E86518"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Construction machinery and equipment</w:t>
            </w:r>
          </w:p>
        </w:tc>
        <w:tc>
          <w:tcPr>
            <w:tcW w:w="2984" w:type="dxa"/>
          </w:tcPr>
          <w:p w14:paraId="21F350D4" w14:textId="675A8959"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Modification of accessibility, mobility, and local connectivity.</w:t>
            </w:r>
          </w:p>
        </w:tc>
        <w:tc>
          <w:tcPr>
            <w:tcW w:w="1295" w:type="dxa"/>
          </w:tcPr>
          <w:p w14:paraId="0E70881F" w14:textId="3F9160A1"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3B40A691" w14:textId="0006B883" w:rsidR="0052579F" w:rsidRPr="00873187" w:rsidRDefault="0052579F" w:rsidP="005B57DE">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Design and implement the Traffic Management Plan so as not to affect more roads than necessary.</w:t>
            </w:r>
          </w:p>
          <w:p w14:paraId="0E22BC18" w14:textId="06A18A4F" w:rsidR="0052579F" w:rsidRPr="00873187" w:rsidRDefault="0052579F" w:rsidP="005B57DE">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Perform road maintenance, especially on those roads on which vehicles and heavy machinery pass (if applicable).</w:t>
            </w:r>
          </w:p>
        </w:tc>
      </w:tr>
      <w:tr w:rsidR="002835DC" w:rsidRPr="00496943" w14:paraId="00D91AB6" w14:textId="77777777" w:rsidTr="0091355B">
        <w:trPr>
          <w:trHeight w:val="134"/>
        </w:trPr>
        <w:tc>
          <w:tcPr>
            <w:tcW w:w="2129" w:type="dxa"/>
            <w:vMerge/>
          </w:tcPr>
          <w:p w14:paraId="384D4C33"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087102FE" w14:textId="77777777" w:rsidR="0052579F" w:rsidRPr="00C64282" w:rsidRDefault="0052579F" w:rsidP="00C65A32">
            <w:pPr>
              <w:widowControl w:val="0"/>
              <w:tabs>
                <w:tab w:val="left" w:pos="720"/>
              </w:tabs>
              <w:autoSpaceDE w:val="0"/>
              <w:autoSpaceDN w:val="0"/>
              <w:ind w:right="-63"/>
              <w:jc w:val="left"/>
              <w:rPr>
                <w:rFonts w:cs="Arial"/>
                <w:sz w:val="20"/>
                <w:szCs w:val="20"/>
              </w:rPr>
            </w:pPr>
          </w:p>
        </w:tc>
        <w:tc>
          <w:tcPr>
            <w:tcW w:w="2984" w:type="dxa"/>
          </w:tcPr>
          <w:p w14:paraId="728C822B" w14:textId="1753FF37" w:rsidR="0052579F" w:rsidRPr="00AE798F" w:rsidRDefault="0052579F" w:rsidP="00C65A32">
            <w:pPr>
              <w:widowControl w:val="0"/>
              <w:tabs>
                <w:tab w:val="left" w:pos="720"/>
              </w:tabs>
              <w:autoSpaceDE w:val="0"/>
              <w:autoSpaceDN w:val="0"/>
              <w:ind w:right="-63"/>
              <w:jc w:val="left"/>
              <w:rPr>
                <w:rFonts w:cs="Arial"/>
                <w:sz w:val="20"/>
                <w:szCs w:val="20"/>
              </w:rPr>
            </w:pPr>
            <w:r w:rsidRPr="00C64282">
              <w:rPr>
                <w:rFonts w:cs="Arial"/>
                <w:sz w:val="20"/>
                <w:szCs w:val="20"/>
              </w:rPr>
              <w:t>Increase in vehicular traffic: There will be an increase in vehicular traffic due to the vehicles and machinery required for the execution of the construction.</w:t>
            </w:r>
          </w:p>
        </w:tc>
        <w:tc>
          <w:tcPr>
            <w:tcW w:w="1295" w:type="dxa"/>
          </w:tcPr>
          <w:p w14:paraId="136A98CB" w14:textId="06F24E3E"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7B74703F" w14:textId="300A7561"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Design and implement the Traffic Management Plan, according to the requirements established by the regulations and guidelines of the city in which the project will be developed.</w:t>
            </w:r>
          </w:p>
        </w:tc>
      </w:tr>
      <w:tr w:rsidR="002835DC" w:rsidRPr="00496943" w14:paraId="1248AC8C" w14:textId="77777777" w:rsidTr="0091355B">
        <w:trPr>
          <w:trHeight w:val="134"/>
        </w:trPr>
        <w:tc>
          <w:tcPr>
            <w:tcW w:w="2129" w:type="dxa"/>
            <w:vMerge/>
          </w:tcPr>
          <w:p w14:paraId="0F11549D"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val="restart"/>
          </w:tcPr>
          <w:p w14:paraId="66685034" w14:textId="77777777"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Installation and cabling of charging stations:</w:t>
            </w:r>
          </w:p>
          <w:p w14:paraId="26E7D105" w14:textId="4AD9D70C"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Stringing of cable onto the erected poles, accessories manually or using equipment</w:t>
            </w:r>
          </w:p>
        </w:tc>
        <w:tc>
          <w:tcPr>
            <w:tcW w:w="2984" w:type="dxa"/>
          </w:tcPr>
          <w:p w14:paraId="264A7952" w14:textId="68FBC69B"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Improper distance from houses, trees, and other building effected due to distribution line.</w:t>
            </w:r>
          </w:p>
        </w:tc>
        <w:tc>
          <w:tcPr>
            <w:tcW w:w="1295" w:type="dxa"/>
          </w:tcPr>
          <w:p w14:paraId="121D03BA" w14:textId="5AB8BC26" w:rsidR="0052579F" w:rsidRPr="00873187" w:rsidRDefault="0052579F" w:rsidP="00C65A32">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4A42AC76" w14:textId="77777777" w:rsidR="0052579F" w:rsidRPr="00873187" w:rsidRDefault="0052579F" w:rsidP="00C65A32">
            <w:pPr>
              <w:jc w:val="left"/>
              <w:rPr>
                <w:rFonts w:cs="Arial"/>
                <w:sz w:val="20"/>
                <w:szCs w:val="20"/>
              </w:rPr>
            </w:pPr>
            <w:r w:rsidRPr="00873187">
              <w:rPr>
                <w:rFonts w:cs="Arial"/>
                <w:sz w:val="20"/>
                <w:szCs w:val="20"/>
              </w:rPr>
              <w:t>Distances from public receptors maintained as per the mandatory requirements.</w:t>
            </w:r>
          </w:p>
          <w:p w14:paraId="7E24AE3D" w14:textId="77777777" w:rsidR="0052579F" w:rsidRPr="00873187" w:rsidRDefault="0052579F" w:rsidP="00C65A32">
            <w:pPr>
              <w:widowControl w:val="0"/>
              <w:tabs>
                <w:tab w:val="left" w:pos="720"/>
              </w:tabs>
              <w:autoSpaceDE w:val="0"/>
              <w:autoSpaceDN w:val="0"/>
              <w:ind w:right="-63"/>
              <w:jc w:val="left"/>
              <w:rPr>
                <w:rFonts w:cs="Arial"/>
                <w:sz w:val="20"/>
                <w:szCs w:val="20"/>
              </w:rPr>
            </w:pPr>
          </w:p>
        </w:tc>
      </w:tr>
      <w:tr w:rsidR="002835DC" w:rsidRPr="00496943" w14:paraId="774C31AC" w14:textId="77777777" w:rsidTr="0091355B">
        <w:trPr>
          <w:trHeight w:val="134"/>
        </w:trPr>
        <w:tc>
          <w:tcPr>
            <w:tcW w:w="2129" w:type="dxa"/>
            <w:vMerge/>
          </w:tcPr>
          <w:p w14:paraId="71A62DE5"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0F3B9AF6" w14:textId="77777777" w:rsidR="0052579F" w:rsidRPr="00C64282" w:rsidRDefault="0052579F" w:rsidP="00C65A32">
            <w:pPr>
              <w:widowControl w:val="0"/>
              <w:tabs>
                <w:tab w:val="left" w:pos="720"/>
              </w:tabs>
              <w:autoSpaceDE w:val="0"/>
              <w:autoSpaceDN w:val="0"/>
              <w:ind w:right="-63"/>
              <w:jc w:val="left"/>
              <w:rPr>
                <w:rFonts w:cs="Arial"/>
                <w:sz w:val="20"/>
                <w:szCs w:val="20"/>
              </w:rPr>
            </w:pPr>
          </w:p>
        </w:tc>
        <w:tc>
          <w:tcPr>
            <w:tcW w:w="2984" w:type="dxa"/>
          </w:tcPr>
          <w:p w14:paraId="7CB49113" w14:textId="1DFF27C4" w:rsidR="0052579F" w:rsidRPr="00AE798F" w:rsidRDefault="0052579F" w:rsidP="00C65A32">
            <w:pPr>
              <w:widowControl w:val="0"/>
              <w:tabs>
                <w:tab w:val="left" w:pos="720"/>
              </w:tabs>
              <w:autoSpaceDE w:val="0"/>
              <w:autoSpaceDN w:val="0"/>
              <w:ind w:right="-63"/>
              <w:jc w:val="left"/>
              <w:rPr>
                <w:rFonts w:cs="Arial"/>
                <w:sz w:val="20"/>
                <w:szCs w:val="20"/>
              </w:rPr>
            </w:pPr>
            <w:r w:rsidRPr="00C64282">
              <w:rPr>
                <w:rFonts w:cs="Arial"/>
                <w:sz w:val="20"/>
                <w:szCs w:val="20"/>
              </w:rPr>
              <w:t>Stringing the wire loosely may result in cable touching the buildings, trees and other obstructions that could cause damage and accidents during operations.</w:t>
            </w:r>
          </w:p>
        </w:tc>
        <w:tc>
          <w:tcPr>
            <w:tcW w:w="1295" w:type="dxa"/>
          </w:tcPr>
          <w:p w14:paraId="362E9192" w14:textId="2BBE86C8"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339357B2" w14:textId="7ADF02D4"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Proper sag and tension maintained between conductors installed to keep it clear of the buildings, trees and other obstructions that could cause accidents/short circuits during operation</w:t>
            </w:r>
          </w:p>
        </w:tc>
      </w:tr>
      <w:tr w:rsidR="002835DC" w:rsidRPr="00496943" w14:paraId="7FFD3505" w14:textId="77777777" w:rsidTr="0091355B">
        <w:trPr>
          <w:trHeight w:val="134"/>
        </w:trPr>
        <w:tc>
          <w:tcPr>
            <w:tcW w:w="2129" w:type="dxa"/>
            <w:vMerge/>
          </w:tcPr>
          <w:p w14:paraId="74D016C7"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6E06BBBD" w14:textId="77777777" w:rsidR="0052579F" w:rsidRPr="00C64282" w:rsidRDefault="0052579F" w:rsidP="00C65A32">
            <w:pPr>
              <w:widowControl w:val="0"/>
              <w:tabs>
                <w:tab w:val="left" w:pos="720"/>
              </w:tabs>
              <w:autoSpaceDE w:val="0"/>
              <w:autoSpaceDN w:val="0"/>
              <w:ind w:right="-63"/>
              <w:jc w:val="left"/>
              <w:rPr>
                <w:rFonts w:cs="Arial"/>
                <w:sz w:val="20"/>
                <w:szCs w:val="20"/>
              </w:rPr>
            </w:pPr>
          </w:p>
        </w:tc>
        <w:tc>
          <w:tcPr>
            <w:tcW w:w="2984" w:type="dxa"/>
          </w:tcPr>
          <w:p w14:paraId="135D2DC9" w14:textId="60A53C8E" w:rsidR="0052579F" w:rsidRPr="00AE798F" w:rsidRDefault="0052579F" w:rsidP="00C65A32">
            <w:pPr>
              <w:widowControl w:val="0"/>
              <w:tabs>
                <w:tab w:val="left" w:pos="720"/>
              </w:tabs>
              <w:autoSpaceDE w:val="0"/>
              <w:autoSpaceDN w:val="0"/>
              <w:ind w:right="-63"/>
              <w:jc w:val="left"/>
              <w:rPr>
                <w:rFonts w:cs="Arial"/>
                <w:sz w:val="20"/>
                <w:szCs w:val="20"/>
              </w:rPr>
            </w:pPr>
            <w:r w:rsidRPr="00C64282">
              <w:rPr>
                <w:rFonts w:cs="Arial"/>
                <w:sz w:val="20"/>
                <w:szCs w:val="20"/>
              </w:rPr>
              <w:t>Temporary restrictions on access to property and damage to the properties</w:t>
            </w:r>
          </w:p>
        </w:tc>
        <w:tc>
          <w:tcPr>
            <w:tcW w:w="1295" w:type="dxa"/>
          </w:tcPr>
          <w:p w14:paraId="78B22FB0" w14:textId="2E3DF842"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587C88A8" w14:textId="77777777"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Consultation to the owners and community (if applicable)</w:t>
            </w:r>
          </w:p>
          <w:p w14:paraId="3C9388CC" w14:textId="77777777"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Establish alternative access</w:t>
            </w:r>
          </w:p>
          <w:p w14:paraId="66DC7190" w14:textId="02F3C5F1"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compensation for damage of the personal properties (if applicable)</w:t>
            </w:r>
          </w:p>
        </w:tc>
      </w:tr>
      <w:tr w:rsidR="002835DC" w:rsidRPr="00496943" w14:paraId="609B6ED5" w14:textId="77777777" w:rsidTr="0091355B">
        <w:trPr>
          <w:trHeight w:val="134"/>
        </w:trPr>
        <w:tc>
          <w:tcPr>
            <w:tcW w:w="2129" w:type="dxa"/>
            <w:vMerge/>
          </w:tcPr>
          <w:p w14:paraId="756E0C6E"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19DFCDE7" w14:textId="77777777" w:rsidR="0052579F" w:rsidRPr="00C64282" w:rsidRDefault="0052579F" w:rsidP="00C65A32">
            <w:pPr>
              <w:widowControl w:val="0"/>
              <w:tabs>
                <w:tab w:val="left" w:pos="720"/>
              </w:tabs>
              <w:autoSpaceDE w:val="0"/>
              <w:autoSpaceDN w:val="0"/>
              <w:ind w:right="-63"/>
              <w:jc w:val="left"/>
              <w:rPr>
                <w:rFonts w:cs="Arial"/>
                <w:sz w:val="20"/>
                <w:szCs w:val="20"/>
              </w:rPr>
            </w:pPr>
          </w:p>
        </w:tc>
        <w:tc>
          <w:tcPr>
            <w:tcW w:w="2984" w:type="dxa"/>
          </w:tcPr>
          <w:p w14:paraId="39EAC6CC" w14:textId="3E10EFD3" w:rsidR="0052579F" w:rsidRPr="00AE798F" w:rsidRDefault="0052579F" w:rsidP="00C65A32">
            <w:pPr>
              <w:widowControl w:val="0"/>
              <w:tabs>
                <w:tab w:val="left" w:pos="720"/>
              </w:tabs>
              <w:autoSpaceDE w:val="0"/>
              <w:autoSpaceDN w:val="0"/>
              <w:ind w:right="-63"/>
              <w:jc w:val="left"/>
              <w:rPr>
                <w:rFonts w:cs="Arial"/>
                <w:sz w:val="20"/>
                <w:szCs w:val="20"/>
              </w:rPr>
            </w:pPr>
            <w:r w:rsidRPr="00C64282">
              <w:rPr>
                <w:rFonts w:cs="Arial"/>
                <w:sz w:val="20"/>
                <w:szCs w:val="20"/>
              </w:rPr>
              <w:t xml:space="preserve">Conflict generation between institutions, </w:t>
            </w:r>
            <w:proofErr w:type="gramStart"/>
            <w:r w:rsidRPr="00C64282">
              <w:rPr>
                <w:rFonts w:cs="Arial"/>
                <w:sz w:val="20"/>
                <w:szCs w:val="20"/>
              </w:rPr>
              <w:t>companies</w:t>
            </w:r>
            <w:proofErr w:type="gramEnd"/>
            <w:r w:rsidRPr="00C64282">
              <w:rPr>
                <w:rFonts w:cs="Arial"/>
                <w:sz w:val="20"/>
                <w:szCs w:val="20"/>
              </w:rPr>
              <w:t xml:space="preserve"> and community: During the installation and cabling activities, fluctuations in the electric power service may occur in the projects area of influence, therefore, the community may have power outage; however, it is considered to be of a temporary nature and of low impact.</w:t>
            </w:r>
          </w:p>
        </w:tc>
        <w:tc>
          <w:tcPr>
            <w:tcW w:w="1295" w:type="dxa"/>
          </w:tcPr>
          <w:p w14:paraId="7ED95C91" w14:textId="38053D49" w:rsidR="0052579F" w:rsidRPr="00AE798F" w:rsidRDefault="0052579F" w:rsidP="00C65A32">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5CFD5B22" w14:textId="00B5397F" w:rsidR="0052579F" w:rsidRPr="00AE798F" w:rsidRDefault="0052579F" w:rsidP="0024733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Through communication programs, keep the community informed of the intervention schedule (days, hours, and frequencies). Additionally, communications may include preventive measures such as disconnection of electrical and electronic equipment that is more sensitive to energy fluctuations.</w:t>
            </w:r>
          </w:p>
          <w:p w14:paraId="632902FC" w14:textId="0C058620" w:rsidR="0091355B" w:rsidRDefault="0052579F" w:rsidP="0024733F">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Management of intervention schedules, identifying and carrying out the works at hours where the demand for energy by the affected community is the lowest.</w:t>
            </w:r>
          </w:p>
          <w:p w14:paraId="73C12C6C" w14:textId="5390C308" w:rsidR="0052579F" w:rsidRPr="00B85108" w:rsidRDefault="0091355B" w:rsidP="00C65A32">
            <w:pPr>
              <w:pStyle w:val="Prrafodelista"/>
              <w:widowControl w:val="0"/>
              <w:numPr>
                <w:ilvl w:val="0"/>
                <w:numId w:val="11"/>
              </w:numPr>
              <w:tabs>
                <w:tab w:val="left" w:pos="720"/>
              </w:tabs>
              <w:autoSpaceDE w:val="0"/>
              <w:autoSpaceDN w:val="0"/>
              <w:ind w:right="-63"/>
              <w:jc w:val="left"/>
              <w:rPr>
                <w:rFonts w:cs="Arial"/>
                <w:sz w:val="20"/>
                <w:szCs w:val="20"/>
              </w:rPr>
            </w:pPr>
            <w:r w:rsidRPr="0091355B">
              <w:rPr>
                <w:rFonts w:cs="Arial"/>
                <w:sz w:val="20"/>
                <w:szCs w:val="20"/>
              </w:rPr>
              <w:t>Have in place a fully functional grievance redress mechanism, (GRM)</w:t>
            </w:r>
          </w:p>
        </w:tc>
      </w:tr>
      <w:tr w:rsidR="002835DC" w:rsidRPr="00496943" w14:paraId="4BB4F3EE" w14:textId="77777777" w:rsidTr="0091355B">
        <w:trPr>
          <w:trHeight w:val="134"/>
        </w:trPr>
        <w:tc>
          <w:tcPr>
            <w:tcW w:w="2129" w:type="dxa"/>
            <w:vMerge/>
          </w:tcPr>
          <w:p w14:paraId="51913620" w14:textId="77777777" w:rsidR="0052579F" w:rsidRPr="00873187" w:rsidRDefault="0052579F" w:rsidP="00C65A32">
            <w:pPr>
              <w:widowControl w:val="0"/>
              <w:tabs>
                <w:tab w:val="left" w:pos="720"/>
              </w:tabs>
              <w:autoSpaceDE w:val="0"/>
              <w:autoSpaceDN w:val="0"/>
              <w:ind w:right="-63"/>
              <w:jc w:val="left"/>
              <w:rPr>
                <w:rFonts w:cs="Arial"/>
                <w:sz w:val="20"/>
                <w:szCs w:val="20"/>
              </w:rPr>
            </w:pPr>
          </w:p>
        </w:tc>
        <w:tc>
          <w:tcPr>
            <w:tcW w:w="1606" w:type="dxa"/>
            <w:vMerge/>
          </w:tcPr>
          <w:p w14:paraId="4AD63A3F" w14:textId="77777777" w:rsidR="0052579F" w:rsidRPr="00C64282" w:rsidRDefault="0052579F" w:rsidP="00C65A32">
            <w:pPr>
              <w:widowControl w:val="0"/>
              <w:tabs>
                <w:tab w:val="left" w:pos="720"/>
              </w:tabs>
              <w:autoSpaceDE w:val="0"/>
              <w:autoSpaceDN w:val="0"/>
              <w:ind w:right="-63"/>
              <w:jc w:val="left"/>
              <w:rPr>
                <w:rFonts w:cs="Arial"/>
                <w:sz w:val="20"/>
                <w:szCs w:val="20"/>
              </w:rPr>
            </w:pPr>
          </w:p>
        </w:tc>
        <w:tc>
          <w:tcPr>
            <w:tcW w:w="2984" w:type="dxa"/>
          </w:tcPr>
          <w:p w14:paraId="17856DD0" w14:textId="2ACD3C22" w:rsidR="0052579F" w:rsidRPr="00AE798F" w:rsidRDefault="0052579F" w:rsidP="00C65A32">
            <w:pPr>
              <w:widowControl w:val="0"/>
              <w:tabs>
                <w:tab w:val="left" w:pos="720"/>
              </w:tabs>
              <w:autoSpaceDE w:val="0"/>
              <w:autoSpaceDN w:val="0"/>
              <w:ind w:right="-63"/>
              <w:jc w:val="left"/>
              <w:rPr>
                <w:rFonts w:cs="Arial"/>
                <w:sz w:val="20"/>
                <w:szCs w:val="20"/>
              </w:rPr>
            </w:pPr>
            <w:r w:rsidRPr="00C64282">
              <w:rPr>
                <w:rFonts w:cs="Arial"/>
                <w:sz w:val="20"/>
                <w:szCs w:val="20"/>
              </w:rPr>
              <w:t>Occupational safety risks: Safety risks related to potentially dangerous voltages and human exposure to conductive parts.</w:t>
            </w:r>
          </w:p>
        </w:tc>
        <w:tc>
          <w:tcPr>
            <w:tcW w:w="1295" w:type="dxa"/>
          </w:tcPr>
          <w:p w14:paraId="74D27FC1" w14:textId="49B4425E" w:rsidR="0052579F" w:rsidRPr="00AE798F" w:rsidRDefault="00293429" w:rsidP="00C65A32">
            <w:pPr>
              <w:widowControl w:val="0"/>
              <w:tabs>
                <w:tab w:val="left" w:pos="720"/>
              </w:tabs>
              <w:autoSpaceDE w:val="0"/>
              <w:autoSpaceDN w:val="0"/>
              <w:ind w:right="-63"/>
              <w:jc w:val="left"/>
              <w:rPr>
                <w:rFonts w:cs="Arial"/>
                <w:sz w:val="20"/>
                <w:szCs w:val="20"/>
              </w:rPr>
            </w:pPr>
            <w:r>
              <w:rPr>
                <w:rFonts w:cs="Arial"/>
                <w:sz w:val="20"/>
                <w:szCs w:val="20"/>
              </w:rPr>
              <w:t>Medium</w:t>
            </w:r>
          </w:p>
        </w:tc>
        <w:tc>
          <w:tcPr>
            <w:tcW w:w="5164" w:type="dxa"/>
          </w:tcPr>
          <w:p w14:paraId="0F10B86F" w14:textId="58BECFE1" w:rsidR="0052579F" w:rsidRPr="00AE798F" w:rsidRDefault="0052579F"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Special precautions applied as the standard practices of occupational health and safety, including electrical and fire safety of the charging stations.</w:t>
            </w:r>
          </w:p>
          <w:p w14:paraId="71E6B8E8" w14:textId="6145BE4D" w:rsidR="0052579F" w:rsidRDefault="0052579F"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Enforcement of occupational health and safety (OHS) standards.</w:t>
            </w:r>
          </w:p>
          <w:p w14:paraId="4A7BFBFC" w14:textId="30D36176" w:rsidR="000246D0" w:rsidRPr="00AE798F" w:rsidRDefault="005D3566" w:rsidP="00B85108">
            <w:pPr>
              <w:pStyle w:val="Prrafodelista"/>
              <w:widowControl w:val="0"/>
              <w:numPr>
                <w:ilvl w:val="0"/>
                <w:numId w:val="11"/>
              </w:numPr>
              <w:tabs>
                <w:tab w:val="left" w:pos="720"/>
              </w:tabs>
              <w:autoSpaceDE w:val="0"/>
              <w:autoSpaceDN w:val="0"/>
              <w:ind w:right="-63"/>
              <w:jc w:val="left"/>
              <w:rPr>
                <w:rFonts w:cs="Arial"/>
                <w:sz w:val="20"/>
                <w:szCs w:val="20"/>
              </w:rPr>
            </w:pPr>
            <w:r w:rsidRPr="00102605">
              <w:rPr>
                <w:rFonts w:cs="Arial"/>
                <w:sz w:val="20"/>
                <w:szCs w:val="20"/>
              </w:rPr>
              <w:t xml:space="preserve">The </w:t>
            </w:r>
            <w:r>
              <w:rPr>
                <w:rFonts w:cs="Arial"/>
                <w:sz w:val="20"/>
                <w:szCs w:val="20"/>
              </w:rPr>
              <w:t xml:space="preserve">subproject’s </w:t>
            </w:r>
            <w:r w:rsidRPr="00102605">
              <w:rPr>
                <w:rFonts w:cs="Arial"/>
                <w:sz w:val="20"/>
                <w:szCs w:val="20"/>
              </w:rPr>
              <w:t>ESMP must contain adequate contingency and emergency response plans, satisfactory to CAF.</w:t>
            </w:r>
          </w:p>
        </w:tc>
      </w:tr>
      <w:tr w:rsidR="00E60814" w:rsidRPr="00496943" w14:paraId="576F0209" w14:textId="77777777" w:rsidTr="0091355B">
        <w:trPr>
          <w:trHeight w:val="134"/>
        </w:trPr>
        <w:tc>
          <w:tcPr>
            <w:tcW w:w="2129" w:type="dxa"/>
            <w:vMerge/>
          </w:tcPr>
          <w:p w14:paraId="7B15897A" w14:textId="77777777" w:rsidR="00E60814" w:rsidRPr="00AE798F" w:rsidRDefault="00E60814" w:rsidP="00630A24">
            <w:pPr>
              <w:widowControl w:val="0"/>
              <w:tabs>
                <w:tab w:val="left" w:pos="720"/>
              </w:tabs>
              <w:autoSpaceDE w:val="0"/>
              <w:autoSpaceDN w:val="0"/>
              <w:ind w:right="-63"/>
              <w:jc w:val="left"/>
              <w:rPr>
                <w:rFonts w:cs="Arial"/>
                <w:sz w:val="20"/>
                <w:szCs w:val="20"/>
              </w:rPr>
            </w:pPr>
          </w:p>
        </w:tc>
        <w:tc>
          <w:tcPr>
            <w:tcW w:w="1606" w:type="dxa"/>
          </w:tcPr>
          <w:p w14:paraId="04480CB4" w14:textId="66158621" w:rsidR="00E60814" w:rsidRPr="00AE798F" w:rsidRDefault="007E172E" w:rsidP="00630A24">
            <w:pPr>
              <w:widowControl w:val="0"/>
              <w:tabs>
                <w:tab w:val="left" w:pos="720"/>
              </w:tabs>
              <w:autoSpaceDE w:val="0"/>
              <w:autoSpaceDN w:val="0"/>
              <w:ind w:right="-63"/>
              <w:jc w:val="left"/>
              <w:rPr>
                <w:rFonts w:cs="Arial"/>
                <w:sz w:val="20"/>
                <w:szCs w:val="20"/>
              </w:rPr>
            </w:pPr>
            <w:r>
              <w:rPr>
                <w:rFonts w:cs="Arial"/>
                <w:sz w:val="20"/>
                <w:szCs w:val="20"/>
              </w:rPr>
              <w:t xml:space="preserve">Gender </w:t>
            </w:r>
            <w:r w:rsidR="00293429">
              <w:rPr>
                <w:rFonts w:cs="Arial"/>
                <w:sz w:val="20"/>
                <w:szCs w:val="20"/>
              </w:rPr>
              <w:t>risks</w:t>
            </w:r>
          </w:p>
        </w:tc>
        <w:tc>
          <w:tcPr>
            <w:tcW w:w="2984" w:type="dxa"/>
          </w:tcPr>
          <w:p w14:paraId="5B1C00C6" w14:textId="39CF2532" w:rsidR="00E60814" w:rsidRPr="00AE798F" w:rsidRDefault="007E172E" w:rsidP="00630A24">
            <w:pPr>
              <w:widowControl w:val="0"/>
              <w:tabs>
                <w:tab w:val="left" w:pos="720"/>
              </w:tabs>
              <w:autoSpaceDE w:val="0"/>
              <w:autoSpaceDN w:val="0"/>
              <w:ind w:right="-63"/>
              <w:jc w:val="left"/>
              <w:rPr>
                <w:rFonts w:cs="Arial"/>
                <w:sz w:val="20"/>
                <w:szCs w:val="20"/>
              </w:rPr>
            </w:pPr>
            <w:r>
              <w:rPr>
                <w:rFonts w:cs="Arial"/>
                <w:sz w:val="20"/>
                <w:szCs w:val="20"/>
              </w:rPr>
              <w:t>GBV and SEAH risks</w:t>
            </w:r>
            <w:r w:rsidR="00293429">
              <w:rPr>
                <w:rFonts w:cs="Arial"/>
                <w:sz w:val="20"/>
                <w:szCs w:val="20"/>
              </w:rPr>
              <w:t xml:space="preserve"> during construction phase</w:t>
            </w:r>
          </w:p>
        </w:tc>
        <w:tc>
          <w:tcPr>
            <w:tcW w:w="1295" w:type="dxa"/>
          </w:tcPr>
          <w:p w14:paraId="5C568C49" w14:textId="2B6BA8AE" w:rsidR="00E60814" w:rsidRPr="00AE798F" w:rsidRDefault="00293429" w:rsidP="00630A24">
            <w:pPr>
              <w:widowControl w:val="0"/>
              <w:tabs>
                <w:tab w:val="left" w:pos="720"/>
              </w:tabs>
              <w:autoSpaceDE w:val="0"/>
              <w:autoSpaceDN w:val="0"/>
              <w:ind w:right="-63"/>
              <w:jc w:val="left"/>
              <w:rPr>
                <w:rFonts w:cs="Arial"/>
                <w:sz w:val="20"/>
                <w:szCs w:val="20"/>
              </w:rPr>
            </w:pPr>
            <w:r>
              <w:rPr>
                <w:rFonts w:cs="Arial"/>
                <w:sz w:val="20"/>
                <w:szCs w:val="20"/>
              </w:rPr>
              <w:t>Low</w:t>
            </w:r>
          </w:p>
        </w:tc>
        <w:tc>
          <w:tcPr>
            <w:tcW w:w="5164" w:type="dxa"/>
          </w:tcPr>
          <w:p w14:paraId="7B9C9C63" w14:textId="3EEDE6D3" w:rsidR="002240E0" w:rsidRDefault="001C0465" w:rsidP="00B85108">
            <w:pPr>
              <w:pStyle w:val="Prrafodelista"/>
              <w:widowControl w:val="0"/>
              <w:numPr>
                <w:ilvl w:val="0"/>
                <w:numId w:val="11"/>
              </w:numPr>
              <w:tabs>
                <w:tab w:val="left" w:pos="720"/>
              </w:tabs>
              <w:autoSpaceDE w:val="0"/>
              <w:autoSpaceDN w:val="0"/>
              <w:ind w:right="-63"/>
              <w:jc w:val="left"/>
              <w:rPr>
                <w:rFonts w:cs="Arial"/>
                <w:sz w:val="20"/>
                <w:szCs w:val="20"/>
              </w:rPr>
            </w:pPr>
            <w:r>
              <w:rPr>
                <w:rFonts w:cs="Arial"/>
                <w:sz w:val="20"/>
                <w:szCs w:val="20"/>
              </w:rPr>
              <w:t>Prepare</w:t>
            </w:r>
            <w:r w:rsidR="00095F3B">
              <w:rPr>
                <w:rFonts w:cs="Arial"/>
                <w:sz w:val="20"/>
                <w:szCs w:val="20"/>
              </w:rPr>
              <w:t xml:space="preserve"> / implement </w:t>
            </w:r>
            <w:r w:rsidR="002240E0">
              <w:rPr>
                <w:rFonts w:cs="Arial"/>
                <w:sz w:val="20"/>
                <w:szCs w:val="20"/>
              </w:rPr>
              <w:t xml:space="preserve">a </w:t>
            </w:r>
            <w:r w:rsidRPr="00102605">
              <w:rPr>
                <w:rFonts w:cs="Arial"/>
                <w:sz w:val="20"/>
                <w:szCs w:val="20"/>
              </w:rPr>
              <w:t>gender action plan may include</w:t>
            </w:r>
            <w:r w:rsidRPr="00B85108">
              <w:t xml:space="preserve">: </w:t>
            </w:r>
            <w:r w:rsidRPr="00B85108">
              <w:rPr>
                <w:rFonts w:cs="Arial"/>
                <w:sz w:val="20"/>
                <w:szCs w:val="20"/>
              </w:rPr>
              <w:t>(</w:t>
            </w:r>
            <w:proofErr w:type="spellStart"/>
            <w:r w:rsidRPr="00B85108">
              <w:rPr>
                <w:rFonts w:cs="Arial"/>
                <w:sz w:val="20"/>
                <w:szCs w:val="20"/>
              </w:rPr>
              <w:t>i</w:t>
            </w:r>
            <w:proofErr w:type="spellEnd"/>
            <w:r w:rsidRPr="00B85108">
              <w:rPr>
                <w:rFonts w:cs="Arial"/>
                <w:sz w:val="20"/>
                <w:szCs w:val="20"/>
              </w:rPr>
              <w:t xml:space="preserve">) </w:t>
            </w:r>
            <w:r w:rsidRPr="00D7144E">
              <w:rPr>
                <w:rFonts w:cs="Arial"/>
                <w:sz w:val="20"/>
                <w:szCs w:val="20"/>
              </w:rPr>
              <w:t>Code</w:t>
            </w:r>
            <w:r w:rsidRPr="00B85108">
              <w:rPr>
                <w:rFonts w:cs="Arial"/>
                <w:sz w:val="20"/>
                <w:szCs w:val="20"/>
              </w:rPr>
              <w:t xml:space="preserve"> of Conduct establishing a zero-tolerance for SEAH against community members and project workers; (ii) workers training schemes; (iii) reporting measures; (iv) community communication and awareness raising; and (v) developing networks with </w:t>
            </w:r>
            <w:r w:rsidRPr="00102605">
              <w:rPr>
                <w:rFonts w:cs="Arial"/>
                <w:sz w:val="20"/>
                <w:szCs w:val="20"/>
              </w:rPr>
              <w:t>community services and specialized centres</w:t>
            </w:r>
          </w:p>
          <w:p w14:paraId="7F50BCFC" w14:textId="372DDE49" w:rsidR="002B2483" w:rsidRPr="002240E0" w:rsidRDefault="00DB18F5" w:rsidP="00B85108">
            <w:pPr>
              <w:pStyle w:val="Prrafodelista"/>
              <w:widowControl w:val="0"/>
              <w:numPr>
                <w:ilvl w:val="0"/>
                <w:numId w:val="11"/>
              </w:numPr>
              <w:tabs>
                <w:tab w:val="left" w:pos="720"/>
              </w:tabs>
              <w:autoSpaceDE w:val="0"/>
              <w:autoSpaceDN w:val="0"/>
              <w:ind w:right="-63"/>
              <w:jc w:val="left"/>
              <w:rPr>
                <w:rFonts w:cs="Arial"/>
                <w:sz w:val="20"/>
                <w:szCs w:val="20"/>
              </w:rPr>
            </w:pPr>
            <w:r w:rsidRPr="002240E0">
              <w:rPr>
                <w:rFonts w:cs="Arial"/>
                <w:sz w:val="20"/>
                <w:szCs w:val="20"/>
              </w:rPr>
              <w:t xml:space="preserve">Have in place </w:t>
            </w:r>
            <w:r w:rsidR="002B2483" w:rsidRPr="002240E0">
              <w:rPr>
                <w:rFonts w:cs="Arial"/>
                <w:sz w:val="20"/>
                <w:szCs w:val="20"/>
              </w:rPr>
              <w:t xml:space="preserve">a survivor centred and </w:t>
            </w:r>
            <w:r w:rsidR="00F21FFC" w:rsidRPr="002240E0">
              <w:rPr>
                <w:rFonts w:cs="Arial"/>
                <w:sz w:val="20"/>
                <w:szCs w:val="20"/>
              </w:rPr>
              <w:t>gender-responsive GRM for SEAH-specific complaints/</w:t>
            </w:r>
            <w:r w:rsidR="002B2483" w:rsidRPr="002240E0">
              <w:rPr>
                <w:rFonts w:cs="Arial"/>
                <w:sz w:val="20"/>
                <w:szCs w:val="20"/>
              </w:rPr>
              <w:t xml:space="preserve"> </w:t>
            </w:r>
            <w:r w:rsidR="00F21FFC" w:rsidRPr="002240E0">
              <w:rPr>
                <w:rFonts w:cs="Arial"/>
                <w:sz w:val="20"/>
                <w:szCs w:val="20"/>
              </w:rPr>
              <w:t>incidents</w:t>
            </w:r>
            <w:r w:rsidR="002B2483" w:rsidRPr="002240E0">
              <w:rPr>
                <w:rFonts w:cs="Arial"/>
                <w:sz w:val="20"/>
                <w:szCs w:val="20"/>
              </w:rPr>
              <w:t>.</w:t>
            </w:r>
          </w:p>
        </w:tc>
      </w:tr>
      <w:tr w:rsidR="002835DC" w:rsidRPr="00496943" w14:paraId="525B1AF8" w14:textId="77777777" w:rsidTr="0091355B">
        <w:trPr>
          <w:trHeight w:val="134"/>
        </w:trPr>
        <w:tc>
          <w:tcPr>
            <w:tcW w:w="2129" w:type="dxa"/>
          </w:tcPr>
          <w:p w14:paraId="359FE80C" w14:textId="7DE0CB21" w:rsidR="00630A24" w:rsidRPr="00AE798F" w:rsidRDefault="00630A24" w:rsidP="00630A24">
            <w:pPr>
              <w:widowControl w:val="0"/>
              <w:tabs>
                <w:tab w:val="left" w:pos="720"/>
              </w:tabs>
              <w:autoSpaceDE w:val="0"/>
              <w:autoSpaceDN w:val="0"/>
              <w:ind w:right="-63"/>
              <w:jc w:val="left"/>
              <w:rPr>
                <w:rFonts w:cs="Arial"/>
                <w:sz w:val="20"/>
                <w:szCs w:val="20"/>
              </w:rPr>
            </w:pPr>
            <w:r w:rsidRPr="00AE798F">
              <w:rPr>
                <w:rFonts w:cs="Arial"/>
                <w:sz w:val="20"/>
                <w:szCs w:val="20"/>
              </w:rPr>
              <w:t>Operation charging stations, grid connections and/or required bus depot upgrades (smart facilities)</w:t>
            </w:r>
          </w:p>
        </w:tc>
        <w:tc>
          <w:tcPr>
            <w:tcW w:w="1606" w:type="dxa"/>
          </w:tcPr>
          <w:p w14:paraId="5295D386" w14:textId="1E5E522E" w:rsidR="00630A24" w:rsidRPr="00AE798F" w:rsidRDefault="00496943" w:rsidP="00630A24">
            <w:pPr>
              <w:widowControl w:val="0"/>
              <w:tabs>
                <w:tab w:val="left" w:pos="720"/>
              </w:tabs>
              <w:autoSpaceDE w:val="0"/>
              <w:autoSpaceDN w:val="0"/>
              <w:ind w:right="-63"/>
              <w:jc w:val="left"/>
              <w:rPr>
                <w:rFonts w:cs="Arial"/>
                <w:sz w:val="20"/>
                <w:szCs w:val="20"/>
              </w:rPr>
            </w:pPr>
            <w:r w:rsidRPr="00AE798F">
              <w:rPr>
                <w:rFonts w:cs="Arial"/>
                <w:sz w:val="20"/>
                <w:szCs w:val="20"/>
              </w:rPr>
              <w:t>Worker safety</w:t>
            </w:r>
          </w:p>
        </w:tc>
        <w:tc>
          <w:tcPr>
            <w:tcW w:w="2984" w:type="dxa"/>
          </w:tcPr>
          <w:p w14:paraId="58E09A3D" w14:textId="3CDDD47C" w:rsidR="00630A24" w:rsidRPr="00AE798F" w:rsidRDefault="00630A24" w:rsidP="00630A24">
            <w:pPr>
              <w:widowControl w:val="0"/>
              <w:tabs>
                <w:tab w:val="left" w:pos="720"/>
              </w:tabs>
              <w:autoSpaceDE w:val="0"/>
              <w:autoSpaceDN w:val="0"/>
              <w:ind w:right="-63"/>
              <w:jc w:val="left"/>
              <w:rPr>
                <w:rFonts w:cs="Arial"/>
                <w:sz w:val="20"/>
                <w:szCs w:val="20"/>
              </w:rPr>
            </w:pPr>
            <w:r w:rsidRPr="00AE798F">
              <w:rPr>
                <w:rFonts w:cs="Arial"/>
                <w:sz w:val="20"/>
                <w:szCs w:val="20"/>
              </w:rPr>
              <w:t>Occupational safety risks: Safety risks related to potentially dangerous voltages and human exposure to conductive parts.</w:t>
            </w:r>
          </w:p>
        </w:tc>
        <w:tc>
          <w:tcPr>
            <w:tcW w:w="1295" w:type="dxa"/>
          </w:tcPr>
          <w:p w14:paraId="3B89F8D7" w14:textId="6F77B18C" w:rsidR="00630A24" w:rsidRPr="00AE798F" w:rsidRDefault="006D67DA" w:rsidP="00630A24">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tcPr>
          <w:p w14:paraId="4CBB21EF" w14:textId="5C1F1A32" w:rsidR="00496943" w:rsidRPr="00AE798F" w:rsidRDefault="00496943"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Special precautions applied as the standard practices of occupational health and safety, including electrical and fire safety of the charging stations.</w:t>
            </w:r>
          </w:p>
          <w:p w14:paraId="0BB7B388" w14:textId="2A93B234" w:rsidR="00630A24" w:rsidRDefault="00496943"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Enforcement of occupational health and safety (OHS) standards.</w:t>
            </w:r>
          </w:p>
          <w:p w14:paraId="371C326A" w14:textId="47D17412" w:rsidR="00A16873" w:rsidRPr="00AE798F" w:rsidRDefault="00905097" w:rsidP="00B85108">
            <w:pPr>
              <w:pStyle w:val="Prrafodelista"/>
              <w:widowControl w:val="0"/>
              <w:numPr>
                <w:ilvl w:val="0"/>
                <w:numId w:val="11"/>
              </w:numPr>
              <w:tabs>
                <w:tab w:val="left" w:pos="720"/>
              </w:tabs>
              <w:autoSpaceDE w:val="0"/>
              <w:autoSpaceDN w:val="0"/>
              <w:ind w:right="-63"/>
              <w:jc w:val="left"/>
              <w:rPr>
                <w:rFonts w:cs="Arial"/>
                <w:sz w:val="20"/>
                <w:szCs w:val="20"/>
              </w:rPr>
            </w:pPr>
            <w:r w:rsidRPr="00102605">
              <w:rPr>
                <w:rFonts w:cs="Arial"/>
                <w:sz w:val="20"/>
                <w:szCs w:val="20"/>
              </w:rPr>
              <w:t xml:space="preserve">The </w:t>
            </w:r>
            <w:r>
              <w:rPr>
                <w:rFonts w:cs="Arial"/>
                <w:sz w:val="20"/>
                <w:szCs w:val="20"/>
              </w:rPr>
              <w:t xml:space="preserve">subproject’s </w:t>
            </w:r>
            <w:r w:rsidRPr="00102605">
              <w:rPr>
                <w:rFonts w:cs="Arial"/>
                <w:sz w:val="20"/>
                <w:szCs w:val="20"/>
              </w:rPr>
              <w:t>ESMP must contain adequate contingency and emergency response plans, satisfactory to CAF.</w:t>
            </w:r>
          </w:p>
        </w:tc>
      </w:tr>
      <w:tr w:rsidR="002835DC" w:rsidRPr="00496943" w14:paraId="2DCE547F" w14:textId="77777777" w:rsidTr="0091355B">
        <w:trPr>
          <w:trHeight w:val="134"/>
        </w:trPr>
        <w:tc>
          <w:tcPr>
            <w:tcW w:w="2129" w:type="dxa"/>
            <w:vMerge w:val="restart"/>
          </w:tcPr>
          <w:p w14:paraId="6D1CA0B7" w14:textId="3484B37A" w:rsidR="006D67DA" w:rsidRPr="00AE798F" w:rsidRDefault="006D67DA" w:rsidP="006D67DA">
            <w:pPr>
              <w:widowControl w:val="0"/>
              <w:tabs>
                <w:tab w:val="left" w:pos="720"/>
              </w:tabs>
              <w:autoSpaceDE w:val="0"/>
              <w:autoSpaceDN w:val="0"/>
              <w:ind w:right="-63"/>
              <w:jc w:val="left"/>
              <w:rPr>
                <w:rFonts w:cs="Arial"/>
                <w:sz w:val="20"/>
                <w:szCs w:val="20"/>
              </w:rPr>
            </w:pPr>
            <w:r w:rsidRPr="00AE798F">
              <w:rPr>
                <w:rFonts w:cs="Arial"/>
                <w:sz w:val="20"/>
                <w:szCs w:val="20"/>
              </w:rPr>
              <w:t>Dismantling of charging stations/infrastructure</w:t>
            </w:r>
          </w:p>
        </w:tc>
        <w:tc>
          <w:tcPr>
            <w:tcW w:w="1606" w:type="dxa"/>
          </w:tcPr>
          <w:p w14:paraId="7E4E8483" w14:textId="7813ED79" w:rsidR="006D67DA" w:rsidRPr="00AE798F" w:rsidRDefault="006D67DA" w:rsidP="006D67DA">
            <w:pPr>
              <w:widowControl w:val="0"/>
              <w:tabs>
                <w:tab w:val="left" w:pos="720"/>
              </w:tabs>
              <w:autoSpaceDE w:val="0"/>
              <w:autoSpaceDN w:val="0"/>
              <w:ind w:right="-63"/>
              <w:jc w:val="left"/>
              <w:rPr>
                <w:rFonts w:cs="Arial"/>
                <w:sz w:val="20"/>
                <w:szCs w:val="20"/>
              </w:rPr>
            </w:pPr>
            <w:r w:rsidRPr="00AE798F">
              <w:rPr>
                <w:rFonts w:cs="Arial"/>
                <w:sz w:val="20"/>
                <w:szCs w:val="20"/>
              </w:rPr>
              <w:t xml:space="preserve">Solid waste </w:t>
            </w:r>
          </w:p>
        </w:tc>
        <w:tc>
          <w:tcPr>
            <w:tcW w:w="2984" w:type="dxa"/>
          </w:tcPr>
          <w:p w14:paraId="253E957F" w14:textId="4D93A8CA" w:rsidR="006D67DA" w:rsidRPr="00AE798F" w:rsidRDefault="006D67DA" w:rsidP="006D67DA">
            <w:pPr>
              <w:widowControl w:val="0"/>
              <w:tabs>
                <w:tab w:val="left" w:pos="720"/>
              </w:tabs>
              <w:autoSpaceDE w:val="0"/>
              <w:autoSpaceDN w:val="0"/>
              <w:ind w:right="-63"/>
              <w:jc w:val="left"/>
              <w:rPr>
                <w:rFonts w:cs="Arial"/>
                <w:sz w:val="20"/>
                <w:szCs w:val="20"/>
              </w:rPr>
            </w:pPr>
            <w:r w:rsidRPr="00AE798F">
              <w:rPr>
                <w:rFonts w:cs="Arial"/>
                <w:sz w:val="20"/>
                <w:szCs w:val="20"/>
              </w:rPr>
              <w:t>Debris of construction materials from the dismantling of existing facilities Construction and demolition debris may be generated during the entire decommissioning activity, Hazardous waste and ordinary waste are included.</w:t>
            </w:r>
          </w:p>
        </w:tc>
        <w:tc>
          <w:tcPr>
            <w:tcW w:w="1295" w:type="dxa"/>
          </w:tcPr>
          <w:p w14:paraId="6CF9DF02" w14:textId="227C7688" w:rsidR="006D67DA" w:rsidRPr="00AE798F" w:rsidRDefault="006D67DA" w:rsidP="006D67DA">
            <w:pPr>
              <w:widowControl w:val="0"/>
              <w:tabs>
                <w:tab w:val="left" w:pos="720"/>
              </w:tabs>
              <w:autoSpaceDE w:val="0"/>
              <w:autoSpaceDN w:val="0"/>
              <w:ind w:right="-63"/>
              <w:jc w:val="left"/>
              <w:rPr>
                <w:rFonts w:cs="Arial"/>
                <w:sz w:val="20"/>
                <w:szCs w:val="20"/>
              </w:rPr>
            </w:pPr>
            <w:r w:rsidRPr="00AE798F">
              <w:rPr>
                <w:rFonts w:cs="Arial"/>
                <w:sz w:val="20"/>
                <w:szCs w:val="20"/>
              </w:rPr>
              <w:t>Low</w:t>
            </w:r>
          </w:p>
        </w:tc>
        <w:tc>
          <w:tcPr>
            <w:tcW w:w="5164" w:type="dxa"/>
            <w:vAlign w:val="center"/>
          </w:tcPr>
          <w:p w14:paraId="20087742" w14:textId="4847C82C" w:rsidR="006D67DA" w:rsidRPr="00AE798F"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 xml:space="preserve">Perform the segregation in situ of the construction debris and deliver them to authorized companies for further use and / or final disposal by managers that are authorized by the competent environmental authority. </w:t>
            </w:r>
          </w:p>
          <w:p w14:paraId="7FD3ED93" w14:textId="4B31A362" w:rsidR="006D67DA" w:rsidRPr="00AE798F"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The final disposal of waste/construction debris will be carried out in the sites that have the current environmental permits, licenses or authorizations required by the regulatory entities.</w:t>
            </w:r>
          </w:p>
          <w:p w14:paraId="48ED4092" w14:textId="58EF47C3" w:rsidR="006D67DA" w:rsidRPr="00AE798F"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AE798F">
              <w:rPr>
                <w:rFonts w:cs="Arial"/>
                <w:sz w:val="20"/>
                <w:szCs w:val="20"/>
              </w:rPr>
              <w:t>Enforcement of occupational health and safety (OHS) standards.</w:t>
            </w:r>
          </w:p>
        </w:tc>
      </w:tr>
      <w:tr w:rsidR="002835DC" w:rsidRPr="00496943" w14:paraId="5E47A03A" w14:textId="77777777" w:rsidTr="0091355B">
        <w:trPr>
          <w:trHeight w:val="134"/>
        </w:trPr>
        <w:tc>
          <w:tcPr>
            <w:tcW w:w="2129" w:type="dxa"/>
            <w:vMerge/>
          </w:tcPr>
          <w:p w14:paraId="0815F13C"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1606" w:type="dxa"/>
            <w:vMerge w:val="restart"/>
          </w:tcPr>
          <w:p w14:paraId="4CD43E32" w14:textId="40B44D8C"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Air quality</w:t>
            </w:r>
          </w:p>
        </w:tc>
        <w:tc>
          <w:tcPr>
            <w:tcW w:w="2984" w:type="dxa"/>
          </w:tcPr>
          <w:p w14:paraId="0562F53C" w14:textId="34BF2B0B"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Alteration to air quality due to the emission of gases and / or particulate matter: Particulate matter will be generated mainly due to the demolition of structures; Additionally, emissions will be generated by the combustion processes of the equipment, vehicles and machinery used to carry out the demolition.</w:t>
            </w:r>
          </w:p>
        </w:tc>
        <w:tc>
          <w:tcPr>
            <w:tcW w:w="1295" w:type="dxa"/>
          </w:tcPr>
          <w:p w14:paraId="4066B5F2" w14:textId="4BF67763"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vAlign w:val="center"/>
          </w:tcPr>
          <w:p w14:paraId="4DA22A5F" w14:textId="77777777" w:rsidR="006D67DA" w:rsidRPr="00873187" w:rsidRDefault="006D67DA" w:rsidP="006D67DA">
            <w:pPr>
              <w:widowControl w:val="0"/>
              <w:tabs>
                <w:tab w:val="left" w:pos="720"/>
              </w:tabs>
              <w:autoSpaceDE w:val="0"/>
              <w:autoSpaceDN w:val="0"/>
              <w:ind w:right="-63"/>
              <w:jc w:val="left"/>
              <w:rPr>
                <w:rFonts w:cs="Arial"/>
                <w:i/>
                <w:sz w:val="20"/>
                <w:szCs w:val="20"/>
              </w:rPr>
            </w:pPr>
            <w:r w:rsidRPr="00873187">
              <w:rPr>
                <w:rFonts w:cs="Arial"/>
                <w:i/>
                <w:sz w:val="20"/>
                <w:szCs w:val="20"/>
              </w:rPr>
              <w:t>Particulate matter mitigation:</w:t>
            </w:r>
          </w:p>
          <w:p w14:paraId="61406144" w14:textId="3DFE0CF9"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Periodic moistening should be done in areas devoid of plant cover.</w:t>
            </w:r>
          </w:p>
          <w:p w14:paraId="7DE0655C" w14:textId="1A5D2BC3"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Cover materials that are prone to generating particulate matter.</w:t>
            </w:r>
          </w:p>
          <w:p w14:paraId="249D7DB3" w14:textId="46C52B9E"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the transport of materials and construction debris with the dump truck deck covered.</w:t>
            </w:r>
          </w:p>
          <w:p w14:paraId="48EBF87F" w14:textId="1C0C4BA7"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Make periodic monitoring of particulate material and comply with current environmental regulations that apply.</w:t>
            </w:r>
          </w:p>
          <w:p w14:paraId="1FA8EA05" w14:textId="77777777" w:rsidR="006D67DA" w:rsidRPr="00873187" w:rsidRDefault="006D67DA" w:rsidP="006D67DA">
            <w:pPr>
              <w:widowControl w:val="0"/>
              <w:tabs>
                <w:tab w:val="left" w:pos="720"/>
              </w:tabs>
              <w:autoSpaceDE w:val="0"/>
              <w:autoSpaceDN w:val="0"/>
              <w:ind w:right="-63"/>
              <w:jc w:val="left"/>
              <w:rPr>
                <w:rFonts w:cs="Arial"/>
                <w:i/>
                <w:sz w:val="20"/>
                <w:szCs w:val="20"/>
              </w:rPr>
            </w:pPr>
            <w:r w:rsidRPr="00873187">
              <w:rPr>
                <w:rFonts w:cs="Arial"/>
                <w:i/>
                <w:sz w:val="20"/>
                <w:szCs w:val="20"/>
              </w:rPr>
              <w:t>Control of atmospheric emissions:</w:t>
            </w:r>
          </w:p>
          <w:p w14:paraId="2E26790A" w14:textId="6FFC946C"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Equipment, vehicles, and machinery that generate atmospheric emissions must remain on only for the time strictly necessary. These must be in good condition and the preventive maintenance schedule must be met and corrective maintenance must be carried out in a timely manner.</w:t>
            </w:r>
          </w:p>
          <w:p w14:paraId="3F5ED2C4" w14:textId="19C7BE26"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The current environmental regulations that apply must be complied with.</w:t>
            </w:r>
          </w:p>
        </w:tc>
      </w:tr>
      <w:tr w:rsidR="002835DC" w:rsidRPr="00496943" w14:paraId="778518B7" w14:textId="77777777" w:rsidTr="0091355B">
        <w:trPr>
          <w:trHeight w:val="134"/>
        </w:trPr>
        <w:tc>
          <w:tcPr>
            <w:tcW w:w="2129" w:type="dxa"/>
            <w:vMerge/>
          </w:tcPr>
          <w:p w14:paraId="3080F48D"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1606" w:type="dxa"/>
            <w:vMerge/>
          </w:tcPr>
          <w:p w14:paraId="5E329D7D"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2984" w:type="dxa"/>
          </w:tcPr>
          <w:p w14:paraId="56D09D33" w14:textId="24E320C9"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Change in noise levels: Short-term and localized noise may be generated during Dismantling of charging stations.</w:t>
            </w:r>
          </w:p>
        </w:tc>
        <w:tc>
          <w:tcPr>
            <w:tcW w:w="1295" w:type="dxa"/>
          </w:tcPr>
          <w:p w14:paraId="1C2B90BC" w14:textId="6DE7EADF"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7A54B24A" w14:textId="6AB27FA8"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 Implement noise control barriers whenever possible.</w:t>
            </w:r>
          </w:p>
          <w:p w14:paraId="1E48C835" w14:textId="6E5A8432"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preventive and corrective maintenance of the equipment to minimize vibrations that can generate noise.</w:t>
            </w:r>
          </w:p>
          <w:p w14:paraId="69354E87" w14:textId="6DE0B342"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Workers exposed to high noise levels should wear hearing protection.</w:t>
            </w:r>
          </w:p>
          <w:p w14:paraId="3D127081" w14:textId="0E267D04"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Comply with the maximum noise levels allowed in workplaces and in populated areas and generate awareness campaigns to mitigate sound pressure levels (if necessary).</w:t>
            </w:r>
          </w:p>
          <w:p w14:paraId="4E5C42A7" w14:textId="33AE4789"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Enforcement of occupational health and safety (OHS) standards.</w:t>
            </w:r>
          </w:p>
        </w:tc>
      </w:tr>
      <w:tr w:rsidR="002835DC" w:rsidRPr="00496943" w14:paraId="73B4D2B6" w14:textId="77777777" w:rsidTr="0091355B">
        <w:trPr>
          <w:trHeight w:val="134"/>
        </w:trPr>
        <w:tc>
          <w:tcPr>
            <w:tcW w:w="2129" w:type="dxa"/>
            <w:vMerge/>
          </w:tcPr>
          <w:p w14:paraId="36AC6B45"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1606" w:type="dxa"/>
            <w:vMerge w:val="restart"/>
          </w:tcPr>
          <w:p w14:paraId="0F9C1501" w14:textId="0FAAE66C"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Soil</w:t>
            </w:r>
          </w:p>
        </w:tc>
        <w:tc>
          <w:tcPr>
            <w:tcW w:w="2984" w:type="dxa"/>
          </w:tcPr>
          <w:p w14:paraId="1AD5CB19" w14:textId="77777777"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Change in landscape: A change in the perception of the visual quality of the landscape will be generated.</w:t>
            </w:r>
          </w:p>
          <w:p w14:paraId="71DE8028" w14:textId="16DD41E5"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Change in the physical characteristics of the soil</w:t>
            </w:r>
          </w:p>
        </w:tc>
        <w:tc>
          <w:tcPr>
            <w:tcW w:w="1295" w:type="dxa"/>
          </w:tcPr>
          <w:p w14:paraId="7FE77297" w14:textId="37B8AC11"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5972581E" w14:textId="2235EAFC"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Organize the areas where solid and liquid waste is disposed of, </w:t>
            </w:r>
            <w:proofErr w:type="gramStart"/>
            <w:r w:rsidRPr="00873187">
              <w:rPr>
                <w:rFonts w:cs="Arial"/>
                <w:sz w:val="20"/>
                <w:szCs w:val="20"/>
              </w:rPr>
              <w:t>in order to</w:t>
            </w:r>
            <w:proofErr w:type="gramEnd"/>
            <w:r w:rsidRPr="00873187">
              <w:rPr>
                <w:rFonts w:cs="Arial"/>
                <w:sz w:val="20"/>
                <w:szCs w:val="20"/>
              </w:rPr>
              <w:t xml:space="preserve"> prevent it from invading the environment and affecting the landscape.</w:t>
            </w:r>
          </w:p>
          <w:p w14:paraId="12AB613A" w14:textId="3B431FEB"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Cover the materials to prevent environmental elements such as rain, wind, and sun from contributing to the dispersion and visual pollution that may be generated by the inappropriate disposal of these materials.</w:t>
            </w:r>
          </w:p>
          <w:p w14:paraId="6D2418FE" w14:textId="56119CFE"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a correct process of revegetation and landscaping once the demolition of the structures is completed.</w:t>
            </w:r>
          </w:p>
        </w:tc>
      </w:tr>
      <w:tr w:rsidR="002835DC" w:rsidRPr="00496943" w14:paraId="09566D4A" w14:textId="77777777" w:rsidTr="0091355B">
        <w:trPr>
          <w:trHeight w:val="134"/>
        </w:trPr>
        <w:tc>
          <w:tcPr>
            <w:tcW w:w="2129" w:type="dxa"/>
            <w:vMerge/>
          </w:tcPr>
          <w:p w14:paraId="28AD5D65"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1606" w:type="dxa"/>
            <w:vMerge/>
          </w:tcPr>
          <w:p w14:paraId="1DE4C455" w14:textId="77777777" w:rsidR="006D67DA" w:rsidRPr="00873187" w:rsidRDefault="006D67DA" w:rsidP="006D67DA">
            <w:pPr>
              <w:widowControl w:val="0"/>
              <w:tabs>
                <w:tab w:val="left" w:pos="720"/>
              </w:tabs>
              <w:autoSpaceDE w:val="0"/>
              <w:autoSpaceDN w:val="0"/>
              <w:ind w:right="-63"/>
              <w:jc w:val="left"/>
              <w:rPr>
                <w:rFonts w:cs="Arial"/>
                <w:sz w:val="20"/>
                <w:szCs w:val="20"/>
              </w:rPr>
            </w:pPr>
          </w:p>
        </w:tc>
        <w:tc>
          <w:tcPr>
            <w:tcW w:w="2984" w:type="dxa"/>
            <w:vAlign w:val="center"/>
          </w:tcPr>
          <w:p w14:paraId="6C4CC625" w14:textId="43BE3551"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Change in the physical characteristics of the soil</w:t>
            </w:r>
          </w:p>
        </w:tc>
        <w:tc>
          <w:tcPr>
            <w:tcW w:w="1295" w:type="dxa"/>
          </w:tcPr>
          <w:p w14:paraId="585A6E67" w14:textId="56CE6F04" w:rsidR="006D67DA" w:rsidRPr="00873187" w:rsidRDefault="006D67DA" w:rsidP="006D67DA">
            <w:pPr>
              <w:widowControl w:val="0"/>
              <w:tabs>
                <w:tab w:val="left" w:pos="720"/>
              </w:tabs>
              <w:autoSpaceDE w:val="0"/>
              <w:autoSpaceDN w:val="0"/>
              <w:ind w:right="-63"/>
              <w:jc w:val="left"/>
              <w:rPr>
                <w:rFonts w:cs="Arial"/>
                <w:sz w:val="20"/>
                <w:szCs w:val="20"/>
              </w:rPr>
            </w:pPr>
            <w:r w:rsidRPr="00873187">
              <w:rPr>
                <w:rFonts w:cs="Arial"/>
                <w:sz w:val="20"/>
                <w:szCs w:val="20"/>
              </w:rPr>
              <w:t>Low</w:t>
            </w:r>
          </w:p>
        </w:tc>
        <w:tc>
          <w:tcPr>
            <w:tcW w:w="5164" w:type="dxa"/>
          </w:tcPr>
          <w:p w14:paraId="2B787A37" w14:textId="7D4F6E44"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 xml:space="preserve">Carry out stabilization and erosion control </w:t>
            </w:r>
            <w:proofErr w:type="gramStart"/>
            <w:r w:rsidRPr="00873187">
              <w:rPr>
                <w:rFonts w:cs="Arial"/>
                <w:sz w:val="20"/>
                <w:szCs w:val="20"/>
              </w:rPr>
              <w:t>works</w:t>
            </w:r>
            <w:proofErr w:type="gramEnd"/>
            <w:r w:rsidRPr="00873187">
              <w:rPr>
                <w:rFonts w:cs="Arial"/>
                <w:sz w:val="20"/>
                <w:szCs w:val="20"/>
              </w:rPr>
              <w:t xml:space="preserve"> (if applicable).</w:t>
            </w:r>
          </w:p>
          <w:p w14:paraId="204A5417" w14:textId="7F07302A" w:rsidR="006D67DA" w:rsidRPr="00873187" w:rsidRDefault="006D67DA" w:rsidP="00B85108">
            <w:pPr>
              <w:pStyle w:val="Prrafodelista"/>
              <w:widowControl w:val="0"/>
              <w:numPr>
                <w:ilvl w:val="0"/>
                <w:numId w:val="11"/>
              </w:numPr>
              <w:tabs>
                <w:tab w:val="left" w:pos="720"/>
              </w:tabs>
              <w:autoSpaceDE w:val="0"/>
              <w:autoSpaceDN w:val="0"/>
              <w:ind w:right="-63"/>
              <w:jc w:val="left"/>
              <w:rPr>
                <w:rFonts w:cs="Arial"/>
                <w:sz w:val="20"/>
                <w:szCs w:val="20"/>
              </w:rPr>
            </w:pPr>
            <w:r w:rsidRPr="00873187">
              <w:rPr>
                <w:rFonts w:cs="Arial"/>
                <w:sz w:val="20"/>
                <w:szCs w:val="20"/>
              </w:rPr>
              <w:t>Carry out the restructuring of the land and the final revegetation of the areas.</w:t>
            </w:r>
          </w:p>
        </w:tc>
      </w:tr>
    </w:tbl>
    <w:p w14:paraId="6CEE50D2" w14:textId="7ED1C9FA" w:rsidR="00CD4C44" w:rsidRDefault="00CD4C44" w:rsidP="00AE798F">
      <w:pPr>
        <w:spacing w:after="0" w:line="240" w:lineRule="auto"/>
      </w:pPr>
    </w:p>
    <w:p w14:paraId="04658AFE" w14:textId="77777777" w:rsidR="009E3D04" w:rsidRDefault="009E3D04" w:rsidP="00406472">
      <w:pPr>
        <w:pStyle w:val="Ttulo1"/>
        <w:numPr>
          <w:ilvl w:val="0"/>
          <w:numId w:val="1"/>
        </w:numPr>
        <w:spacing w:before="0" w:after="0" w:line="240" w:lineRule="auto"/>
        <w:sectPr w:rsidR="009E3D04" w:rsidSect="00B577C7">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440" w:bottom="1440" w:left="1440" w:header="708" w:footer="708" w:gutter="0"/>
          <w:cols w:space="708"/>
          <w:titlePg/>
          <w:docGrid w:linePitch="360"/>
        </w:sectPr>
      </w:pPr>
      <w:bookmarkStart w:id="27" w:name="_Toc109749136"/>
      <w:bookmarkStart w:id="28" w:name="_Toc109749220"/>
      <w:bookmarkStart w:id="29" w:name="_Toc109751509"/>
      <w:bookmarkStart w:id="30" w:name="_Toc109751675"/>
      <w:bookmarkStart w:id="31" w:name="_Toc109749137"/>
      <w:bookmarkStart w:id="32" w:name="_Toc109749221"/>
      <w:bookmarkStart w:id="33" w:name="_Toc109751510"/>
      <w:bookmarkStart w:id="34" w:name="_Toc109751676"/>
      <w:bookmarkStart w:id="35" w:name="_Toc109749138"/>
      <w:bookmarkStart w:id="36" w:name="_Toc109749222"/>
      <w:bookmarkStart w:id="37" w:name="_Toc109751511"/>
      <w:bookmarkStart w:id="38" w:name="_Toc109751677"/>
      <w:bookmarkStart w:id="39" w:name="_Toc109749139"/>
      <w:bookmarkStart w:id="40" w:name="_Toc109749223"/>
      <w:bookmarkStart w:id="41" w:name="_Toc109751512"/>
      <w:bookmarkStart w:id="42" w:name="_Toc109751678"/>
      <w:bookmarkStart w:id="43" w:name="_Toc109749140"/>
      <w:bookmarkStart w:id="44" w:name="_Toc109749224"/>
      <w:bookmarkStart w:id="45" w:name="_Toc109751513"/>
      <w:bookmarkStart w:id="46" w:name="_Toc109751679"/>
      <w:bookmarkStart w:id="47" w:name="_Toc109749141"/>
      <w:bookmarkStart w:id="48" w:name="_Toc109749225"/>
      <w:bookmarkStart w:id="49" w:name="_Toc109751514"/>
      <w:bookmarkStart w:id="50" w:name="_Toc109751680"/>
      <w:bookmarkStart w:id="51" w:name="_Toc109749142"/>
      <w:bookmarkStart w:id="52" w:name="_Toc109749226"/>
      <w:bookmarkStart w:id="53" w:name="_Toc109751515"/>
      <w:bookmarkStart w:id="54" w:name="_Toc109751681"/>
      <w:bookmarkStart w:id="55" w:name="_Toc109749143"/>
      <w:bookmarkStart w:id="56" w:name="_Toc109749227"/>
      <w:bookmarkStart w:id="57" w:name="_Toc109751516"/>
      <w:bookmarkStart w:id="58" w:name="_Toc109751682"/>
      <w:bookmarkStart w:id="59" w:name="_Toc109749144"/>
      <w:bookmarkStart w:id="60" w:name="_Toc109749228"/>
      <w:bookmarkStart w:id="61" w:name="_Toc109751517"/>
      <w:bookmarkStart w:id="62" w:name="_Toc109751683"/>
      <w:bookmarkStart w:id="63" w:name="_Toc109749145"/>
      <w:bookmarkStart w:id="64" w:name="_Toc109749229"/>
      <w:bookmarkStart w:id="65" w:name="_Toc109751518"/>
      <w:bookmarkStart w:id="66" w:name="_Toc109751684"/>
      <w:bookmarkStart w:id="67" w:name="_Toc109749146"/>
      <w:bookmarkStart w:id="68" w:name="_Toc109749230"/>
      <w:bookmarkStart w:id="69" w:name="_Toc109751519"/>
      <w:bookmarkStart w:id="70" w:name="_Toc109751685"/>
      <w:bookmarkStart w:id="71" w:name="_Toc109749148"/>
      <w:bookmarkStart w:id="72" w:name="_Toc109749232"/>
      <w:bookmarkStart w:id="73" w:name="_Toc109751521"/>
      <w:bookmarkStart w:id="74" w:name="_Toc109751687"/>
      <w:bookmarkStart w:id="75" w:name="_Toc109749149"/>
      <w:bookmarkStart w:id="76" w:name="_Toc109749233"/>
      <w:bookmarkStart w:id="77" w:name="_Toc109751522"/>
      <w:bookmarkStart w:id="78" w:name="_Toc109751688"/>
      <w:bookmarkStart w:id="79" w:name="_Toc109749150"/>
      <w:bookmarkStart w:id="80" w:name="_Toc109749234"/>
      <w:bookmarkStart w:id="81" w:name="_Toc109751523"/>
      <w:bookmarkStart w:id="82" w:name="_Toc109751689"/>
      <w:bookmarkStart w:id="83" w:name="_Toc109749151"/>
      <w:bookmarkStart w:id="84" w:name="_Toc109749235"/>
      <w:bookmarkStart w:id="85" w:name="_Toc109751524"/>
      <w:bookmarkStart w:id="86" w:name="_Toc109751690"/>
      <w:bookmarkStart w:id="87" w:name="_Toc109749152"/>
      <w:bookmarkStart w:id="88" w:name="_Toc109749236"/>
      <w:bookmarkStart w:id="89" w:name="_Toc109751525"/>
      <w:bookmarkStart w:id="90" w:name="_Toc109751691"/>
      <w:bookmarkStart w:id="91" w:name="_Toc109749154"/>
      <w:bookmarkStart w:id="92" w:name="_Toc109749238"/>
      <w:bookmarkStart w:id="93" w:name="_Toc109751527"/>
      <w:bookmarkStart w:id="94" w:name="_Toc109751693"/>
      <w:bookmarkStart w:id="95" w:name="_Toc6765197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9392459" w14:textId="36F2108F" w:rsidR="00961383" w:rsidRPr="00102605" w:rsidRDefault="00F3141F" w:rsidP="00BD1E90">
      <w:pPr>
        <w:pStyle w:val="Ttulo1"/>
        <w:numPr>
          <w:ilvl w:val="0"/>
          <w:numId w:val="1"/>
        </w:numPr>
        <w:spacing w:before="0" w:after="0" w:line="240" w:lineRule="auto"/>
      </w:pPr>
      <w:bookmarkStart w:id="96" w:name="_Toc114152215"/>
      <w:r w:rsidRPr="00102605">
        <w:t>Sub-Program 2</w:t>
      </w:r>
      <w:r w:rsidR="00B413FB" w:rsidRPr="00102605">
        <w:t xml:space="preserve">´s </w:t>
      </w:r>
      <w:r w:rsidR="00961383" w:rsidRPr="00102605">
        <w:t>Environmental and Social Management</w:t>
      </w:r>
      <w:bookmarkEnd w:id="95"/>
      <w:r w:rsidR="008F584A" w:rsidRPr="00102605">
        <w:t xml:space="preserve"> Framework</w:t>
      </w:r>
      <w:bookmarkEnd w:id="96"/>
    </w:p>
    <w:p w14:paraId="55D6C8AC" w14:textId="671836DC" w:rsidR="00E45BBC" w:rsidRDefault="00E45BBC" w:rsidP="00BD1E90">
      <w:pPr>
        <w:pStyle w:val="Ttulo1"/>
        <w:spacing w:before="0" w:after="0" w:line="240" w:lineRule="auto"/>
        <w:ind w:left="792"/>
      </w:pPr>
    </w:p>
    <w:p w14:paraId="5147C870" w14:textId="67B10D04" w:rsidR="00C2439D" w:rsidRDefault="00BC4CAA" w:rsidP="00BD1E90">
      <w:pPr>
        <w:spacing w:after="0" w:line="240" w:lineRule="auto"/>
      </w:pPr>
      <w:r>
        <w:t xml:space="preserve">The </w:t>
      </w:r>
      <w:r w:rsidRPr="00102605">
        <w:t>Environmental and Social Management Framework</w:t>
      </w:r>
      <w:r>
        <w:t xml:space="preserve"> (ESMF) </w:t>
      </w:r>
      <w:r w:rsidR="00785189">
        <w:t>f</w:t>
      </w:r>
      <w:r>
        <w:t xml:space="preserve">or </w:t>
      </w:r>
      <w:r w:rsidR="00785189">
        <w:t xml:space="preserve">the E-Motion Subprogram 2 is proposed a set of general guidelines that will orient the development of the specific Environmental and Social Management Plans (ESMP) that must </w:t>
      </w:r>
      <w:r w:rsidR="00A214F5">
        <w:t>be structure</w:t>
      </w:r>
      <w:r w:rsidR="00635CE6">
        <w:t>d</w:t>
      </w:r>
      <w:r w:rsidR="00785189">
        <w:t xml:space="preserve"> and </w:t>
      </w:r>
      <w:r w:rsidR="00710549">
        <w:t>deploy</w:t>
      </w:r>
      <w:r w:rsidR="00A214F5">
        <w:t xml:space="preserve">ed </w:t>
      </w:r>
      <w:r w:rsidR="00635CE6">
        <w:t>at the</w:t>
      </w:r>
      <w:r w:rsidR="00A214F5">
        <w:t xml:space="preserve"> sub</w:t>
      </w:r>
      <w:r w:rsidR="00635CE6">
        <w:t>project level.</w:t>
      </w:r>
    </w:p>
    <w:p w14:paraId="0E4D3729" w14:textId="77777777" w:rsidR="00BD1E90" w:rsidRDefault="00BD1E90" w:rsidP="00BD1E90">
      <w:pPr>
        <w:spacing w:after="0" w:line="240" w:lineRule="auto"/>
      </w:pPr>
    </w:p>
    <w:p w14:paraId="6866EBC9" w14:textId="4349D82A" w:rsidR="00A214F5" w:rsidRDefault="00A214F5" w:rsidP="00BD1E90">
      <w:pPr>
        <w:spacing w:after="0" w:line="240" w:lineRule="auto"/>
      </w:pPr>
      <w:r>
        <w:t xml:space="preserve">In addition, an </w:t>
      </w:r>
      <w:r w:rsidRPr="00A214F5">
        <w:t xml:space="preserve">integral EV </w:t>
      </w:r>
      <w:r w:rsidR="00C2439D">
        <w:t>B</w:t>
      </w:r>
      <w:r w:rsidRPr="00A214F5">
        <w:t xml:space="preserve">attery </w:t>
      </w:r>
      <w:r w:rsidR="00C2439D">
        <w:t>W</w:t>
      </w:r>
      <w:r w:rsidRPr="00A214F5">
        <w:t xml:space="preserve">aste </w:t>
      </w:r>
      <w:r w:rsidR="00B1484B">
        <w:t>M</w:t>
      </w:r>
      <w:r w:rsidR="00B1484B" w:rsidRPr="00A214F5">
        <w:t>anagement</w:t>
      </w:r>
      <w:r w:rsidRPr="00A214F5">
        <w:t xml:space="preserve"> </w:t>
      </w:r>
      <w:r w:rsidR="006E020F">
        <w:t>Program</w:t>
      </w:r>
      <w:r w:rsidR="00C2439D">
        <w:t xml:space="preserve"> (EV Battery </w:t>
      </w:r>
      <w:r w:rsidR="006E020F">
        <w:t>Program</w:t>
      </w:r>
      <w:r w:rsidR="00C2439D">
        <w:t>)</w:t>
      </w:r>
      <w:r>
        <w:t xml:space="preserve"> must be developed</w:t>
      </w:r>
      <w:r w:rsidR="006E020F">
        <w:t xml:space="preserve"> together with the ESMP</w:t>
      </w:r>
      <w:r>
        <w:t xml:space="preserve">, </w:t>
      </w:r>
      <w:r w:rsidRPr="00A214F5">
        <w:t xml:space="preserve">which will </w:t>
      </w:r>
      <w:r>
        <w:t xml:space="preserve">need to </w:t>
      </w:r>
      <w:proofErr w:type="gramStart"/>
      <w:r>
        <w:t>be in compliance with</w:t>
      </w:r>
      <w:proofErr w:type="gramEnd"/>
      <w:r>
        <w:t xml:space="preserve"> current or proposed new </w:t>
      </w:r>
      <w:r w:rsidRPr="00A214F5">
        <w:t>regulatory requirements established by each country for the management, treatment and disposal</w:t>
      </w:r>
      <w:r>
        <w:t xml:space="preserve"> of </w:t>
      </w:r>
      <w:r w:rsidR="00C2439D">
        <w:t xml:space="preserve">End-of Life </w:t>
      </w:r>
      <w:r>
        <w:t xml:space="preserve">EV Batteries, according to their </w:t>
      </w:r>
      <w:r w:rsidR="00C2439D">
        <w:t>classification</w:t>
      </w:r>
      <w:r w:rsidR="001D1E49">
        <w:t>.</w:t>
      </w:r>
      <w:r w:rsidR="006E020F">
        <w:t xml:space="preserve"> </w:t>
      </w:r>
      <w:r w:rsidR="006E020F" w:rsidRPr="006E020F">
        <w:t>If the local legislation does not have specific regulations in this regard, the best international practices must be applied.</w:t>
      </w:r>
    </w:p>
    <w:p w14:paraId="02F6ACE9" w14:textId="77777777" w:rsidR="00BD1E90" w:rsidRDefault="00BD1E90" w:rsidP="00BD1E90">
      <w:pPr>
        <w:spacing w:after="0" w:line="240" w:lineRule="auto"/>
      </w:pPr>
    </w:p>
    <w:p w14:paraId="039CD108" w14:textId="4C541E77" w:rsidR="00C2439D" w:rsidRDefault="00C2439D" w:rsidP="00BD1E90">
      <w:pPr>
        <w:spacing w:after="0" w:line="240" w:lineRule="auto"/>
      </w:pPr>
      <w:r>
        <w:t>Taking into consideration the time it will take to reach a stage</w:t>
      </w:r>
      <w:r w:rsidR="001D1E49">
        <w:t>, in Subprogram 2,</w:t>
      </w:r>
      <w:r>
        <w:t xml:space="preserve"> </w:t>
      </w:r>
      <w:r w:rsidR="001D1E49">
        <w:t>for</w:t>
      </w:r>
      <w:r>
        <w:t xml:space="preserve"> </w:t>
      </w:r>
      <w:r w:rsidR="001D1E49">
        <w:t>e</w:t>
      </w:r>
      <w:r>
        <w:t>-bus</w:t>
      </w:r>
      <w:r w:rsidR="001D1E49">
        <w:t xml:space="preserve"> fleet </w:t>
      </w:r>
      <w:r>
        <w:t xml:space="preserve">deployment or commercial deployment of </w:t>
      </w:r>
      <w:r w:rsidR="001D1E49">
        <w:t>e-</w:t>
      </w:r>
      <w:r>
        <w:t>LCV</w:t>
      </w:r>
      <w:r w:rsidR="001D1E49">
        <w:t xml:space="preserve">, plus the additional 8-10 years lifetime of EV batteries and any additional time due to reuse, there will ample opportunity to put in place the necessary legal </w:t>
      </w:r>
      <w:r>
        <w:t>framework</w:t>
      </w:r>
      <w:r w:rsidR="001D1E49">
        <w:t xml:space="preserve"> and</w:t>
      </w:r>
      <w:r>
        <w:t xml:space="preserve"> the capacities developed and</w:t>
      </w:r>
      <w:r w:rsidR="001D1E49">
        <w:t xml:space="preserve"> deployed</w:t>
      </w:r>
      <w:r>
        <w:t>.</w:t>
      </w:r>
      <w:r w:rsidR="001D1E49">
        <w:t xml:space="preserve"> In regulatory terms, there are two possible scenarios depending on the legal framework of each participating country.</w:t>
      </w:r>
    </w:p>
    <w:p w14:paraId="5221A16F" w14:textId="77777777" w:rsidR="00BD1E90" w:rsidRDefault="00BD1E90" w:rsidP="00BD1E90">
      <w:pPr>
        <w:spacing w:after="0" w:line="240" w:lineRule="auto"/>
      </w:pPr>
    </w:p>
    <w:p w14:paraId="43DB0061" w14:textId="7F39FE66" w:rsidR="000A52E4" w:rsidRDefault="00C2439D" w:rsidP="00BD1E90">
      <w:pPr>
        <w:pStyle w:val="Prrafodelista"/>
        <w:numPr>
          <w:ilvl w:val="0"/>
          <w:numId w:val="11"/>
        </w:numPr>
        <w:spacing w:after="0" w:line="240" w:lineRule="auto"/>
      </w:pPr>
      <w:r>
        <w:t>Liability of the generator</w:t>
      </w:r>
      <w:r w:rsidR="00F30242">
        <w:t xml:space="preserve">: </w:t>
      </w:r>
      <w:r>
        <w:t xml:space="preserve">In this scenario, the transport operator company </w:t>
      </w:r>
      <w:r w:rsidR="000A52E4">
        <w:t xml:space="preserve">or commercial company (e-LCV) owner </w:t>
      </w:r>
      <w:r>
        <w:t xml:space="preserve">will be responsible for managing the </w:t>
      </w:r>
      <w:r w:rsidR="00F30242">
        <w:t>EV</w:t>
      </w:r>
      <w:r>
        <w:t xml:space="preserve"> batteries</w:t>
      </w:r>
      <w:r w:rsidR="006E020F">
        <w:t xml:space="preserve"> (</w:t>
      </w:r>
      <w:proofErr w:type="spellStart"/>
      <w:r w:rsidR="006E020F">
        <w:t>eVehicles</w:t>
      </w:r>
      <w:proofErr w:type="spellEnd"/>
      <w:r w:rsidR="006E020F">
        <w:t>)</w:t>
      </w:r>
      <w:r>
        <w:t xml:space="preserve"> </w:t>
      </w:r>
      <w:r w:rsidR="00F30242">
        <w:t>via a</w:t>
      </w:r>
      <w:r>
        <w:t xml:space="preserve"> </w:t>
      </w:r>
      <w:r w:rsidR="00F30242">
        <w:t>certified waste management operator</w:t>
      </w:r>
      <w:r>
        <w:t>.</w:t>
      </w:r>
      <w:r w:rsidR="00F30242">
        <w:t xml:space="preserve"> The operators must be registered in the competent environmental authority and have all valid environmental permits for handling, transporting, storing, recycling in </w:t>
      </w:r>
      <w:proofErr w:type="gramStart"/>
      <w:r w:rsidR="00F30242">
        <w:t>situ</w:t>
      </w:r>
      <w:proofErr w:type="gramEnd"/>
      <w:r w:rsidR="00F30242">
        <w:t xml:space="preserve"> or exporting for recycling, and safe disposal. In the case of final disposal, the</w:t>
      </w:r>
      <w:r w:rsidR="000A52E4">
        <w:t xml:space="preserve"> operation of the disposal </w:t>
      </w:r>
      <w:r w:rsidR="00F30242">
        <w:t xml:space="preserve">facilities </w:t>
      </w:r>
      <w:r w:rsidR="000A52E4">
        <w:t>must also be legally authorized by means of a valid environmental permit.</w:t>
      </w:r>
    </w:p>
    <w:p w14:paraId="6EE19CF7" w14:textId="77777777" w:rsidR="00BD1E90" w:rsidRDefault="00BD1E90" w:rsidP="00BD1E90">
      <w:pPr>
        <w:pStyle w:val="Prrafodelista"/>
        <w:spacing w:after="0" w:line="240" w:lineRule="auto"/>
        <w:ind w:left="360"/>
      </w:pPr>
    </w:p>
    <w:p w14:paraId="0A61FC3C" w14:textId="5E6B3885" w:rsidR="00C2439D" w:rsidRDefault="000A52E4" w:rsidP="00BD1E90">
      <w:pPr>
        <w:pStyle w:val="Prrafodelista"/>
        <w:numPr>
          <w:ilvl w:val="0"/>
          <w:numId w:val="11"/>
        </w:numPr>
        <w:spacing w:after="0" w:line="240" w:lineRule="auto"/>
      </w:pPr>
      <w:r>
        <w:t>E</w:t>
      </w:r>
      <w:r w:rsidR="00C2439D">
        <w:t>xtended liability of the producer (</w:t>
      </w:r>
      <w:r w:rsidR="006E020F">
        <w:t>ELP</w:t>
      </w:r>
      <w:r>
        <w:t xml:space="preserve">): In this scenario, the </w:t>
      </w:r>
      <w:r w:rsidR="00C2439D">
        <w:t xml:space="preserve">battery </w:t>
      </w:r>
      <w:r>
        <w:t>or the e-vehicle importer will be responsible for managing the EV batteries (under a concept of lifetime cycle). The importer will need to replace the battery packs and collect the used batteries (end-of-life) which will normally be re-exported to the car factory for recycling. The liability ceases as soon as the e-vehicle is commercialized to a second owner.</w:t>
      </w:r>
    </w:p>
    <w:p w14:paraId="462B1E66" w14:textId="77777777" w:rsidR="00BD1E90" w:rsidRDefault="00BD1E90" w:rsidP="00BD1E90">
      <w:pPr>
        <w:spacing w:after="0" w:line="240" w:lineRule="auto"/>
      </w:pPr>
    </w:p>
    <w:p w14:paraId="0B3C0AEC" w14:textId="41C1E2EB" w:rsidR="00635CE6" w:rsidRDefault="00635CE6" w:rsidP="00BD1E90">
      <w:pPr>
        <w:spacing w:after="0" w:line="240" w:lineRule="auto"/>
      </w:pPr>
      <w:r w:rsidRPr="00635CE6">
        <w:t xml:space="preserve">Capacities are being developed </w:t>
      </w:r>
      <w:r w:rsidR="006E020F">
        <w:t>internationally</w:t>
      </w:r>
      <w:r w:rsidR="006E020F" w:rsidRPr="00635CE6">
        <w:t xml:space="preserve"> </w:t>
      </w:r>
      <w:r w:rsidRPr="00635CE6">
        <w:t xml:space="preserve">for environmentally and socially appropriate recycling, which is expected to increase given the global trends in electric mobility. Currently, the market of end-of-life batteries is very fluctuating, so the costs vary constantly. </w:t>
      </w:r>
      <w:r>
        <w:t>E-Motion Subprogram 2 must encourage market response in each participating country to develop the supply chain associated to the recycling and/or reuse of EV batteries.</w:t>
      </w:r>
    </w:p>
    <w:p w14:paraId="46839A43" w14:textId="77777777" w:rsidR="00BD1E90" w:rsidRDefault="00BD1E90" w:rsidP="00BD1E90">
      <w:pPr>
        <w:spacing w:after="0" w:line="240" w:lineRule="auto"/>
      </w:pPr>
    </w:p>
    <w:p w14:paraId="5D8259BC" w14:textId="689F5444" w:rsidR="00942E3E" w:rsidRDefault="00785189" w:rsidP="00BD1E90">
      <w:pPr>
        <w:spacing w:after="0" w:line="240" w:lineRule="auto"/>
        <w:rPr>
          <w:lang w:eastAsia="es-ES_tradnl"/>
        </w:rPr>
      </w:pPr>
      <w:r>
        <w:t xml:space="preserve">The Implementing Partners, be them government entities, public sector entities, private sector business or financial institutions, will be responsible for </w:t>
      </w:r>
      <w:r w:rsidR="006C1AF6">
        <w:t>developing</w:t>
      </w:r>
      <w:r>
        <w:t xml:space="preserve"> the sub</w:t>
      </w:r>
      <w:r w:rsidR="00635CE6">
        <w:t>project´s</w:t>
      </w:r>
      <w:r>
        <w:t xml:space="preserve"> specific ESMP</w:t>
      </w:r>
      <w:r w:rsidR="00635CE6">
        <w:t xml:space="preserve"> including the EV battery </w:t>
      </w:r>
      <w:r w:rsidR="006E020F">
        <w:t>Program</w:t>
      </w:r>
      <w:r w:rsidR="006C1AF6">
        <w:t xml:space="preserve">, based on the following general guidelines </w:t>
      </w:r>
      <w:r w:rsidR="00710549">
        <w:t xml:space="preserve">established in accordance with </w:t>
      </w:r>
      <w:r w:rsidR="00A7644F">
        <w:t xml:space="preserve">CAF Safeguards. </w:t>
      </w:r>
      <w:r w:rsidR="00942E3E" w:rsidRPr="00102605">
        <w:rPr>
          <w:lang w:eastAsia="es-ES_tradnl"/>
        </w:rPr>
        <w:t xml:space="preserve">the standards </w:t>
      </w:r>
      <w:r w:rsidR="006C1AF6">
        <w:rPr>
          <w:lang w:eastAsia="es-ES_tradnl"/>
        </w:rPr>
        <w:t>of</w:t>
      </w:r>
      <w:r w:rsidR="00942E3E" w:rsidRPr="00102605">
        <w:rPr>
          <w:lang w:eastAsia="es-ES_tradnl"/>
        </w:rPr>
        <w:t xml:space="preserve"> CAF´s Environmental and </w:t>
      </w:r>
      <w:r w:rsidR="003F3E30" w:rsidRPr="00102605">
        <w:rPr>
          <w:lang w:eastAsia="es-ES_tradnl"/>
        </w:rPr>
        <w:t>Social</w:t>
      </w:r>
      <w:r w:rsidR="00942E3E" w:rsidRPr="00102605">
        <w:rPr>
          <w:lang w:eastAsia="es-ES_tradnl"/>
        </w:rPr>
        <w:t xml:space="preserve"> Safeguards</w:t>
      </w:r>
      <w:r w:rsidR="00710549">
        <w:rPr>
          <w:lang w:eastAsia="es-ES_tradnl"/>
        </w:rPr>
        <w:t>, as listed in the table below:</w:t>
      </w:r>
    </w:p>
    <w:p w14:paraId="0EE9C49A" w14:textId="77777777" w:rsidR="00D234DD" w:rsidRDefault="00D234DD" w:rsidP="0013654B">
      <w:pPr>
        <w:rPr>
          <w:lang w:eastAsia="es-ES_tradnl"/>
        </w:rPr>
      </w:pPr>
    </w:p>
    <w:p w14:paraId="06BBD641" w14:textId="77777777" w:rsidR="00406472" w:rsidRPr="00102605" w:rsidRDefault="00406472" w:rsidP="00406472">
      <w:pPr>
        <w:spacing w:after="0" w:line="240" w:lineRule="auto"/>
        <w:rPr>
          <w:lang w:eastAsia="es-ES_tradnl"/>
        </w:rPr>
      </w:pPr>
    </w:p>
    <w:tbl>
      <w:tblPr>
        <w:tblStyle w:val="Tablaconcuadrcula"/>
        <w:tblW w:w="9603" w:type="dxa"/>
        <w:tblInd w:w="-252" w:type="dxa"/>
        <w:tblLayout w:type="fixed"/>
        <w:tblLook w:val="04A0" w:firstRow="1" w:lastRow="0" w:firstColumn="1" w:lastColumn="0" w:noHBand="0" w:noVBand="1"/>
      </w:tblPr>
      <w:tblGrid>
        <w:gridCol w:w="1240"/>
        <w:gridCol w:w="8363"/>
      </w:tblGrid>
      <w:tr w:rsidR="0013654B" w:rsidRPr="00102605" w14:paraId="5F59DB1C" w14:textId="77777777" w:rsidTr="00CA2FE5">
        <w:trPr>
          <w:trHeight w:val="557"/>
          <w:tblHeader/>
        </w:trPr>
        <w:tc>
          <w:tcPr>
            <w:tcW w:w="1240" w:type="dxa"/>
            <w:shd w:val="clear" w:color="auto" w:fill="D9E2F3" w:themeFill="accent1" w:themeFillTint="33"/>
            <w:vAlign w:val="center"/>
          </w:tcPr>
          <w:p w14:paraId="7FB83F52" w14:textId="21A2EEF1" w:rsidR="0013654B" w:rsidRPr="00CA2FE5" w:rsidRDefault="0013654B" w:rsidP="00CA2FE5">
            <w:pPr>
              <w:spacing w:before="120" w:after="120"/>
              <w:jc w:val="center"/>
              <w:rPr>
                <w:rFonts w:cs="Arial"/>
                <w:b/>
                <w:bCs/>
                <w:sz w:val="20"/>
                <w:szCs w:val="20"/>
              </w:rPr>
            </w:pPr>
            <w:r w:rsidRPr="00CA2FE5">
              <w:rPr>
                <w:rFonts w:cs="Arial"/>
                <w:b/>
                <w:bCs/>
                <w:sz w:val="20"/>
                <w:szCs w:val="20"/>
              </w:rPr>
              <w:t>Safeguard</w:t>
            </w:r>
          </w:p>
        </w:tc>
        <w:tc>
          <w:tcPr>
            <w:tcW w:w="8363" w:type="dxa"/>
            <w:shd w:val="clear" w:color="auto" w:fill="D9E2F3" w:themeFill="accent1" w:themeFillTint="33"/>
            <w:vAlign w:val="center"/>
          </w:tcPr>
          <w:p w14:paraId="3D183E6C" w14:textId="77777777" w:rsidR="00943555" w:rsidRPr="00CA2FE5" w:rsidRDefault="0013654B" w:rsidP="00CA2FE5">
            <w:pPr>
              <w:spacing w:before="120" w:after="120"/>
              <w:jc w:val="center"/>
              <w:rPr>
                <w:rFonts w:cs="Arial"/>
                <w:b/>
                <w:bCs/>
                <w:sz w:val="20"/>
                <w:szCs w:val="20"/>
              </w:rPr>
            </w:pPr>
            <w:r w:rsidRPr="00CA2FE5">
              <w:rPr>
                <w:rFonts w:cs="Arial"/>
                <w:b/>
                <w:bCs/>
                <w:sz w:val="20"/>
                <w:szCs w:val="20"/>
              </w:rPr>
              <w:t>ESMF’s Guideline requirements</w:t>
            </w:r>
          </w:p>
          <w:p w14:paraId="03B55A67" w14:textId="3B8A20C7" w:rsidR="0013654B" w:rsidRPr="00CA2FE5" w:rsidRDefault="00A67A4F" w:rsidP="00CA2FE5">
            <w:pPr>
              <w:spacing w:before="120" w:after="120"/>
              <w:jc w:val="center"/>
              <w:rPr>
                <w:rFonts w:cs="Arial"/>
                <w:b/>
                <w:bCs/>
                <w:sz w:val="20"/>
                <w:szCs w:val="20"/>
              </w:rPr>
            </w:pPr>
            <w:r w:rsidRPr="00CA2FE5">
              <w:rPr>
                <w:rFonts w:cs="Arial"/>
                <w:b/>
                <w:bCs/>
                <w:sz w:val="20"/>
                <w:szCs w:val="20"/>
              </w:rPr>
              <w:t xml:space="preserve">applicable to all </w:t>
            </w:r>
            <w:r w:rsidR="00D8130E" w:rsidRPr="00CA2FE5">
              <w:rPr>
                <w:rFonts w:cs="Arial"/>
                <w:b/>
                <w:bCs/>
                <w:sz w:val="20"/>
                <w:szCs w:val="20"/>
              </w:rPr>
              <w:t xml:space="preserve">components </w:t>
            </w:r>
            <w:r w:rsidRPr="00CA2FE5">
              <w:rPr>
                <w:rFonts w:cs="Arial"/>
                <w:b/>
                <w:bCs/>
                <w:sz w:val="20"/>
                <w:szCs w:val="20"/>
              </w:rPr>
              <w:t xml:space="preserve">of </w:t>
            </w:r>
            <w:r w:rsidR="00EA638B" w:rsidRPr="00CA2FE5">
              <w:rPr>
                <w:rFonts w:cs="Arial"/>
                <w:b/>
                <w:bCs/>
                <w:sz w:val="20"/>
                <w:szCs w:val="20"/>
              </w:rPr>
              <w:t>E</w:t>
            </w:r>
            <w:r w:rsidR="00D8130E" w:rsidRPr="00CA2FE5">
              <w:rPr>
                <w:rFonts w:cs="Arial"/>
                <w:b/>
                <w:bCs/>
                <w:sz w:val="20"/>
                <w:szCs w:val="20"/>
              </w:rPr>
              <w:t>-Motion Subprogram 2</w:t>
            </w:r>
          </w:p>
        </w:tc>
      </w:tr>
      <w:tr w:rsidR="0013654B" w:rsidRPr="00102605" w14:paraId="0E991878" w14:textId="77777777" w:rsidTr="00873187">
        <w:trPr>
          <w:trHeight w:val="1841"/>
        </w:trPr>
        <w:tc>
          <w:tcPr>
            <w:tcW w:w="1240" w:type="dxa"/>
            <w:vMerge w:val="restart"/>
          </w:tcPr>
          <w:p w14:paraId="1537BC22" w14:textId="6C7E82DB" w:rsidR="0013654B" w:rsidRPr="00102605" w:rsidRDefault="0013654B" w:rsidP="00873187">
            <w:pPr>
              <w:spacing w:before="120" w:after="120"/>
              <w:jc w:val="center"/>
              <w:rPr>
                <w:rFonts w:cs="Arial"/>
                <w:sz w:val="20"/>
                <w:szCs w:val="20"/>
              </w:rPr>
            </w:pPr>
            <w:r w:rsidRPr="00102605">
              <w:rPr>
                <w:rFonts w:cs="Arial"/>
                <w:sz w:val="20"/>
                <w:szCs w:val="20"/>
              </w:rPr>
              <w:t>S01</w:t>
            </w:r>
          </w:p>
        </w:tc>
        <w:tc>
          <w:tcPr>
            <w:tcW w:w="8363" w:type="dxa"/>
          </w:tcPr>
          <w:p w14:paraId="60151D6D" w14:textId="7E9C681B" w:rsidR="0013654B" w:rsidRPr="00102605" w:rsidRDefault="0013654B" w:rsidP="00710549">
            <w:pPr>
              <w:spacing w:before="120" w:after="120"/>
              <w:rPr>
                <w:rFonts w:cs="Arial"/>
                <w:sz w:val="20"/>
                <w:szCs w:val="20"/>
              </w:rPr>
            </w:pPr>
            <w:r w:rsidRPr="00102605">
              <w:rPr>
                <w:rFonts w:cs="Arial"/>
                <w:sz w:val="20"/>
                <w:szCs w:val="20"/>
              </w:rPr>
              <w:t xml:space="preserve">All </w:t>
            </w:r>
            <w:r>
              <w:rPr>
                <w:rFonts w:cs="Arial"/>
                <w:sz w:val="20"/>
                <w:szCs w:val="20"/>
              </w:rPr>
              <w:t>Implementing partners</w:t>
            </w:r>
            <w:r w:rsidRPr="00102605">
              <w:rPr>
                <w:rFonts w:cs="Arial"/>
                <w:sz w:val="20"/>
                <w:szCs w:val="20"/>
              </w:rPr>
              <w:t xml:space="preserve"> must </w:t>
            </w:r>
            <w:r>
              <w:rPr>
                <w:rFonts w:cs="Arial"/>
                <w:sz w:val="20"/>
                <w:szCs w:val="20"/>
              </w:rPr>
              <w:t xml:space="preserve">undertake the necessary environmental, social and gender impact assessments warranted by the scope of the subproject and </w:t>
            </w:r>
            <w:r w:rsidRPr="00102605">
              <w:rPr>
                <w:rFonts w:cs="Arial"/>
                <w:sz w:val="20"/>
                <w:szCs w:val="20"/>
              </w:rPr>
              <w:t xml:space="preserve">develop / strengthen </w:t>
            </w:r>
            <w:r>
              <w:rPr>
                <w:rFonts w:cs="Arial"/>
                <w:sz w:val="20"/>
                <w:szCs w:val="20"/>
              </w:rPr>
              <w:t xml:space="preserve">an </w:t>
            </w:r>
            <w:r w:rsidRPr="00102605">
              <w:rPr>
                <w:rFonts w:cs="Arial"/>
                <w:sz w:val="20"/>
                <w:szCs w:val="20"/>
              </w:rPr>
              <w:t>EMS</w:t>
            </w:r>
            <w:r>
              <w:rPr>
                <w:rFonts w:cs="Arial"/>
                <w:sz w:val="20"/>
                <w:szCs w:val="20"/>
              </w:rPr>
              <w:t>P</w:t>
            </w:r>
            <w:r w:rsidRPr="00102605">
              <w:rPr>
                <w:rFonts w:cs="Arial"/>
                <w:sz w:val="20"/>
                <w:szCs w:val="20"/>
              </w:rPr>
              <w:t xml:space="preserve"> </w:t>
            </w:r>
            <w:r>
              <w:rPr>
                <w:rFonts w:cs="Arial"/>
                <w:sz w:val="20"/>
                <w:szCs w:val="20"/>
              </w:rPr>
              <w:t>purpose designed for the subproject</w:t>
            </w:r>
            <w:r w:rsidRPr="00102605">
              <w:rPr>
                <w:rFonts w:cs="Arial"/>
                <w:sz w:val="20"/>
                <w:szCs w:val="20"/>
              </w:rPr>
              <w:t>.</w:t>
            </w:r>
            <w:r w:rsidR="00834458">
              <w:rPr>
                <w:rFonts w:cs="Arial"/>
                <w:sz w:val="20"/>
                <w:szCs w:val="20"/>
              </w:rPr>
              <w:t xml:space="preserve"> </w:t>
            </w:r>
            <w:r w:rsidR="005A3F9B">
              <w:rPr>
                <w:rFonts w:cs="Arial"/>
                <w:sz w:val="20"/>
                <w:szCs w:val="20"/>
              </w:rPr>
              <w:t>The impact assessment studies</w:t>
            </w:r>
            <w:r w:rsidR="00C1521D">
              <w:rPr>
                <w:rFonts w:cs="Arial"/>
                <w:sz w:val="20"/>
                <w:szCs w:val="20"/>
              </w:rPr>
              <w:t xml:space="preserve">, the </w:t>
            </w:r>
            <w:r w:rsidR="005A3F9B">
              <w:rPr>
                <w:rFonts w:cs="Arial"/>
                <w:sz w:val="20"/>
                <w:szCs w:val="20"/>
              </w:rPr>
              <w:t>ESMP</w:t>
            </w:r>
            <w:r w:rsidR="002A1832">
              <w:rPr>
                <w:rFonts w:cs="Arial"/>
                <w:sz w:val="20"/>
                <w:szCs w:val="20"/>
              </w:rPr>
              <w:t xml:space="preserve"> and</w:t>
            </w:r>
            <w:r w:rsidR="00C1521D">
              <w:rPr>
                <w:rFonts w:cs="Arial"/>
                <w:sz w:val="20"/>
                <w:szCs w:val="20"/>
              </w:rPr>
              <w:t xml:space="preserve"> the Gender Action Plan</w:t>
            </w:r>
            <w:r w:rsidR="005A3F9B">
              <w:rPr>
                <w:rFonts w:cs="Arial"/>
                <w:sz w:val="20"/>
                <w:szCs w:val="20"/>
              </w:rPr>
              <w:t xml:space="preserve"> must be made available for public consultation through a valid disclosure process. </w:t>
            </w:r>
            <w:r w:rsidR="00C82D2B" w:rsidRPr="005A3F9B">
              <w:rPr>
                <w:rFonts w:cs="Arial"/>
                <w:sz w:val="20"/>
                <w:szCs w:val="20"/>
              </w:rPr>
              <w:t xml:space="preserve">Disclosure </w:t>
            </w:r>
            <w:r w:rsidR="005A3F9B" w:rsidRPr="005A3F9B">
              <w:rPr>
                <w:rFonts w:cs="Arial"/>
                <w:sz w:val="20"/>
                <w:szCs w:val="20"/>
              </w:rPr>
              <w:t xml:space="preserve">must occur </w:t>
            </w:r>
            <w:r w:rsidR="00C82D2B" w:rsidRPr="005A3F9B">
              <w:rPr>
                <w:sz w:val="20"/>
                <w:szCs w:val="20"/>
              </w:rPr>
              <w:t>at least 30 days in advance of the loan approval</w:t>
            </w:r>
            <w:r w:rsidR="00642628">
              <w:rPr>
                <w:sz w:val="20"/>
                <w:szCs w:val="20"/>
              </w:rPr>
              <w:t>.</w:t>
            </w:r>
          </w:p>
          <w:p w14:paraId="2516C46D" w14:textId="77777777" w:rsidR="0013654B" w:rsidRPr="00102605" w:rsidRDefault="0013654B" w:rsidP="00710549">
            <w:pPr>
              <w:spacing w:before="120" w:after="120"/>
              <w:rPr>
                <w:rFonts w:cs="Arial"/>
                <w:sz w:val="20"/>
                <w:szCs w:val="20"/>
              </w:rPr>
            </w:pPr>
            <w:r w:rsidRPr="00102605">
              <w:rPr>
                <w:rFonts w:cs="Arial"/>
                <w:sz w:val="20"/>
                <w:szCs w:val="20"/>
              </w:rPr>
              <w:t xml:space="preserve">All </w:t>
            </w:r>
            <w:r>
              <w:rPr>
                <w:rFonts w:cs="Arial"/>
                <w:sz w:val="20"/>
                <w:szCs w:val="20"/>
              </w:rPr>
              <w:t xml:space="preserve">involved Local Financial Institutions </w:t>
            </w:r>
            <w:r w:rsidRPr="00102605">
              <w:rPr>
                <w:rFonts w:cs="Arial"/>
                <w:sz w:val="20"/>
                <w:szCs w:val="20"/>
              </w:rPr>
              <w:t xml:space="preserve">must have in place </w:t>
            </w:r>
            <w:r>
              <w:rPr>
                <w:rFonts w:cs="Arial"/>
                <w:sz w:val="20"/>
                <w:szCs w:val="20"/>
              </w:rPr>
              <w:t xml:space="preserve">a </w:t>
            </w:r>
            <w:r w:rsidRPr="00102605">
              <w:rPr>
                <w:rFonts w:cs="Arial"/>
                <w:sz w:val="20"/>
                <w:szCs w:val="20"/>
              </w:rPr>
              <w:t>fully operational ESRAS or ESMP.</w:t>
            </w:r>
            <w:r>
              <w:rPr>
                <w:rFonts w:cs="Arial"/>
                <w:sz w:val="20"/>
                <w:szCs w:val="20"/>
              </w:rPr>
              <w:t xml:space="preserve"> </w:t>
            </w:r>
          </w:p>
          <w:p w14:paraId="3951B4FD" w14:textId="352A1715" w:rsidR="0013654B" w:rsidRPr="00102605" w:rsidRDefault="0013654B" w:rsidP="00710549">
            <w:pPr>
              <w:spacing w:before="120" w:after="120"/>
              <w:rPr>
                <w:rFonts w:cs="Arial"/>
                <w:sz w:val="20"/>
                <w:szCs w:val="20"/>
              </w:rPr>
            </w:pPr>
            <w:r w:rsidRPr="00102605">
              <w:rPr>
                <w:rFonts w:cs="Arial"/>
                <w:sz w:val="20"/>
                <w:szCs w:val="20"/>
              </w:rPr>
              <w:t xml:space="preserve">Sub-projects may seek good practices independent third-party certifications such as GIIP. </w:t>
            </w:r>
          </w:p>
        </w:tc>
      </w:tr>
      <w:tr w:rsidR="0013654B" w:rsidRPr="00102605" w14:paraId="1158FF50" w14:textId="77777777" w:rsidTr="00E55DCC">
        <w:tc>
          <w:tcPr>
            <w:tcW w:w="1240" w:type="dxa"/>
            <w:vMerge/>
          </w:tcPr>
          <w:p w14:paraId="35F4281F" w14:textId="64E94566" w:rsidR="0013654B" w:rsidRPr="00102605" w:rsidRDefault="0013654B" w:rsidP="00873187">
            <w:pPr>
              <w:spacing w:before="120" w:after="120"/>
              <w:jc w:val="center"/>
              <w:rPr>
                <w:rFonts w:cs="Arial"/>
                <w:sz w:val="20"/>
                <w:szCs w:val="20"/>
              </w:rPr>
            </w:pPr>
          </w:p>
        </w:tc>
        <w:tc>
          <w:tcPr>
            <w:tcW w:w="8363" w:type="dxa"/>
          </w:tcPr>
          <w:p w14:paraId="08148D04" w14:textId="77777777" w:rsidR="0013654B" w:rsidRDefault="0013654B" w:rsidP="00472B7C">
            <w:pPr>
              <w:spacing w:before="120" w:after="120"/>
              <w:rPr>
                <w:rFonts w:cs="Arial"/>
                <w:sz w:val="20"/>
                <w:szCs w:val="20"/>
              </w:rPr>
            </w:pPr>
            <w:r w:rsidRPr="00102605">
              <w:rPr>
                <w:rFonts w:cs="Arial"/>
                <w:sz w:val="20"/>
                <w:szCs w:val="20"/>
              </w:rPr>
              <w:t xml:space="preserve">All </w:t>
            </w:r>
            <w:r>
              <w:rPr>
                <w:rFonts w:cs="Arial"/>
                <w:sz w:val="20"/>
                <w:szCs w:val="20"/>
              </w:rPr>
              <w:t xml:space="preserve">Implementing Partners </w:t>
            </w:r>
            <w:r w:rsidRPr="00102605">
              <w:rPr>
                <w:rFonts w:cs="Arial"/>
                <w:sz w:val="20"/>
                <w:szCs w:val="20"/>
              </w:rPr>
              <w:t xml:space="preserve">must be awarded </w:t>
            </w:r>
            <w:r>
              <w:rPr>
                <w:rFonts w:cs="Arial"/>
                <w:sz w:val="20"/>
                <w:szCs w:val="20"/>
              </w:rPr>
              <w:t xml:space="preserve">the legally required </w:t>
            </w:r>
            <w:r w:rsidRPr="00102605">
              <w:rPr>
                <w:rFonts w:cs="Arial"/>
                <w:sz w:val="20"/>
                <w:szCs w:val="20"/>
              </w:rPr>
              <w:t>environmental permits for construction and operation</w:t>
            </w:r>
            <w:r>
              <w:rPr>
                <w:rFonts w:cs="Arial"/>
                <w:sz w:val="20"/>
                <w:szCs w:val="20"/>
              </w:rPr>
              <w:t xml:space="preserve"> and must implement the subproject in full compliance with the ESMP and the environmental permit.</w:t>
            </w:r>
          </w:p>
          <w:p w14:paraId="17728AF4" w14:textId="77777777" w:rsidR="0013654B" w:rsidRPr="00102605" w:rsidRDefault="0013654B" w:rsidP="00472B7C">
            <w:pPr>
              <w:spacing w:before="120" w:after="120"/>
              <w:rPr>
                <w:rFonts w:cs="Arial"/>
                <w:sz w:val="20"/>
                <w:szCs w:val="20"/>
              </w:rPr>
            </w:pPr>
            <w:r w:rsidRPr="00102605">
              <w:rPr>
                <w:rFonts w:cs="Arial"/>
                <w:sz w:val="20"/>
                <w:szCs w:val="20"/>
              </w:rPr>
              <w:t xml:space="preserve">Subcontractors must be required to </w:t>
            </w:r>
            <w:r>
              <w:rPr>
                <w:rFonts w:cs="Arial"/>
                <w:sz w:val="20"/>
                <w:szCs w:val="20"/>
              </w:rPr>
              <w:t xml:space="preserve">adhere and contractually </w:t>
            </w:r>
            <w:r w:rsidRPr="00102605">
              <w:rPr>
                <w:rFonts w:cs="Arial"/>
                <w:sz w:val="20"/>
                <w:szCs w:val="20"/>
              </w:rPr>
              <w:t xml:space="preserve">meet </w:t>
            </w:r>
            <w:r>
              <w:rPr>
                <w:rFonts w:cs="Arial"/>
                <w:sz w:val="20"/>
                <w:szCs w:val="20"/>
              </w:rPr>
              <w:t xml:space="preserve">the subproject´s </w:t>
            </w:r>
            <w:r w:rsidRPr="00102605">
              <w:rPr>
                <w:rFonts w:cs="Arial"/>
                <w:sz w:val="20"/>
                <w:szCs w:val="20"/>
              </w:rPr>
              <w:t>ESMP</w:t>
            </w:r>
            <w:r>
              <w:rPr>
                <w:rFonts w:cs="Arial"/>
                <w:sz w:val="20"/>
                <w:szCs w:val="20"/>
              </w:rPr>
              <w:t xml:space="preserve">, </w:t>
            </w:r>
            <w:r w:rsidRPr="00102605">
              <w:rPr>
                <w:rFonts w:cs="Arial"/>
                <w:sz w:val="20"/>
                <w:szCs w:val="20"/>
              </w:rPr>
              <w:t xml:space="preserve">local occupational health and safety standards as well as EHS guidelines. </w:t>
            </w:r>
          </w:p>
          <w:p w14:paraId="3AA0216B" w14:textId="142BED4B" w:rsidR="0013654B" w:rsidRDefault="0013654B" w:rsidP="00472B7C">
            <w:pPr>
              <w:rPr>
                <w:rFonts w:cs="Arial"/>
                <w:sz w:val="20"/>
                <w:szCs w:val="20"/>
              </w:rPr>
            </w:pPr>
            <w:r w:rsidRPr="00102605">
              <w:rPr>
                <w:rFonts w:cs="Arial"/>
                <w:sz w:val="20"/>
                <w:szCs w:val="20"/>
              </w:rPr>
              <w:t xml:space="preserve">The </w:t>
            </w:r>
            <w:r>
              <w:rPr>
                <w:rFonts w:cs="Arial"/>
                <w:sz w:val="20"/>
                <w:szCs w:val="20"/>
              </w:rPr>
              <w:t xml:space="preserve">subproject’s </w:t>
            </w:r>
            <w:r w:rsidRPr="00102605">
              <w:rPr>
                <w:rFonts w:cs="Arial"/>
                <w:sz w:val="20"/>
                <w:szCs w:val="20"/>
              </w:rPr>
              <w:t xml:space="preserve">ESMP must contain adequate contingency and emergency response plans, satisfactory to CAF. </w:t>
            </w:r>
          </w:p>
          <w:p w14:paraId="2C2EC6D6" w14:textId="77777777" w:rsidR="0013654B" w:rsidRDefault="0013654B" w:rsidP="00472B7C">
            <w:pPr>
              <w:rPr>
                <w:rFonts w:cs="Arial"/>
                <w:sz w:val="20"/>
                <w:szCs w:val="20"/>
              </w:rPr>
            </w:pPr>
          </w:p>
          <w:p w14:paraId="02F0C684" w14:textId="4370ACAA" w:rsidR="00D234DD" w:rsidRPr="00834458" w:rsidRDefault="0013654B" w:rsidP="0013654B">
            <w:pPr>
              <w:rPr>
                <w:rFonts w:cs="Arial"/>
                <w:sz w:val="20"/>
                <w:szCs w:val="20"/>
              </w:rPr>
            </w:pPr>
            <w:r w:rsidRPr="00834458">
              <w:rPr>
                <w:rFonts w:cs="Arial"/>
                <w:sz w:val="20"/>
                <w:szCs w:val="20"/>
              </w:rPr>
              <w:t xml:space="preserve">Implementing partners must have in place a fully functional grievance redress mechanism </w:t>
            </w:r>
            <w:r w:rsidR="0077422A" w:rsidRPr="00834458">
              <w:rPr>
                <w:rFonts w:cs="Arial"/>
                <w:sz w:val="20"/>
                <w:szCs w:val="20"/>
              </w:rPr>
              <w:t>(GRM)</w:t>
            </w:r>
            <w:r w:rsidR="0077422A" w:rsidRPr="00834458">
              <w:rPr>
                <w:sz w:val="20"/>
                <w:szCs w:val="20"/>
              </w:rPr>
              <w:t xml:space="preserve"> as well as a </w:t>
            </w:r>
            <w:r w:rsidR="0077422A" w:rsidRPr="00834458">
              <w:rPr>
                <w:rFonts w:cs="Arial"/>
                <w:sz w:val="20"/>
                <w:szCs w:val="20"/>
              </w:rPr>
              <w:t>gender-responsive GRM for SEAH-specific complaints/incidents</w:t>
            </w:r>
            <w:r w:rsidR="0077422A">
              <w:rPr>
                <w:rFonts w:cs="Arial"/>
                <w:sz w:val="20"/>
                <w:szCs w:val="20"/>
              </w:rPr>
              <w:t>,</w:t>
            </w:r>
            <w:r w:rsidR="0077422A" w:rsidRPr="00834458">
              <w:rPr>
                <w:rFonts w:cs="Arial"/>
                <w:sz w:val="20"/>
                <w:szCs w:val="20"/>
              </w:rPr>
              <w:t xml:space="preserve"> </w:t>
            </w:r>
            <w:r w:rsidRPr="00834458">
              <w:rPr>
                <w:rFonts w:cs="Arial"/>
                <w:sz w:val="20"/>
                <w:szCs w:val="20"/>
              </w:rPr>
              <w:t>throughout the construction and operation phases of the subproject, as well as undertake</w:t>
            </w:r>
            <w:r w:rsidR="00D234DD" w:rsidRPr="00834458">
              <w:rPr>
                <w:rFonts w:cs="Arial"/>
                <w:sz w:val="20"/>
                <w:szCs w:val="20"/>
              </w:rPr>
              <w:t xml:space="preserve"> </w:t>
            </w:r>
            <w:r w:rsidRPr="00834458">
              <w:rPr>
                <w:rFonts w:cs="Arial"/>
                <w:sz w:val="20"/>
                <w:szCs w:val="20"/>
              </w:rPr>
              <w:t>regular community engagement and awareness raising processes.</w:t>
            </w:r>
          </w:p>
          <w:p w14:paraId="7BF21693" w14:textId="1A466F9E" w:rsidR="0013654B" w:rsidRPr="0013654B" w:rsidRDefault="0013654B" w:rsidP="00C64282"/>
        </w:tc>
      </w:tr>
      <w:tr w:rsidR="0013654B" w:rsidRPr="00102605" w14:paraId="2EAA84A9" w14:textId="77777777" w:rsidTr="00E55DCC">
        <w:tc>
          <w:tcPr>
            <w:tcW w:w="1240" w:type="dxa"/>
            <w:vMerge/>
          </w:tcPr>
          <w:p w14:paraId="3F479A5C" w14:textId="77777777" w:rsidR="0013654B" w:rsidRPr="00102605" w:rsidRDefault="0013654B" w:rsidP="00873187">
            <w:pPr>
              <w:spacing w:before="120" w:after="120"/>
              <w:jc w:val="center"/>
              <w:rPr>
                <w:rFonts w:cs="Arial"/>
                <w:sz w:val="20"/>
                <w:szCs w:val="20"/>
              </w:rPr>
            </w:pPr>
          </w:p>
        </w:tc>
        <w:tc>
          <w:tcPr>
            <w:tcW w:w="8363" w:type="dxa"/>
          </w:tcPr>
          <w:p w14:paraId="577E986D" w14:textId="4B115F6C" w:rsidR="0013654B" w:rsidRPr="00102605" w:rsidRDefault="0013654B" w:rsidP="00DF7738">
            <w:pPr>
              <w:spacing w:before="120" w:after="120"/>
              <w:rPr>
                <w:rFonts w:cs="Arial"/>
                <w:sz w:val="20"/>
                <w:szCs w:val="20"/>
              </w:rPr>
            </w:pPr>
            <w:r w:rsidRPr="00102605">
              <w:rPr>
                <w:rFonts w:cs="Arial"/>
                <w:sz w:val="20"/>
                <w:szCs w:val="20"/>
              </w:rPr>
              <w:t xml:space="preserve">All </w:t>
            </w:r>
            <w:r>
              <w:rPr>
                <w:rFonts w:cs="Arial"/>
                <w:sz w:val="20"/>
                <w:szCs w:val="20"/>
              </w:rPr>
              <w:t>Implementing partners</w:t>
            </w:r>
            <w:r w:rsidRPr="00102605">
              <w:rPr>
                <w:rFonts w:cs="Arial"/>
                <w:sz w:val="20"/>
                <w:szCs w:val="20"/>
              </w:rPr>
              <w:t xml:space="preserve"> must identif</w:t>
            </w:r>
            <w:r>
              <w:rPr>
                <w:rFonts w:cs="Arial"/>
                <w:sz w:val="20"/>
                <w:szCs w:val="20"/>
              </w:rPr>
              <w:t>y</w:t>
            </w:r>
            <w:r w:rsidRPr="00102605">
              <w:rPr>
                <w:rFonts w:cs="Arial"/>
                <w:sz w:val="20"/>
                <w:szCs w:val="20"/>
              </w:rPr>
              <w:t xml:space="preserve"> potentially affected parties and conduct communication and consultation processes, according to the gravity and nature of the </w:t>
            </w:r>
            <w:r>
              <w:rPr>
                <w:rFonts w:cs="Arial"/>
                <w:sz w:val="20"/>
                <w:szCs w:val="20"/>
              </w:rPr>
              <w:t>impact</w:t>
            </w:r>
            <w:r w:rsidRPr="00102605">
              <w:rPr>
                <w:rFonts w:cs="Arial"/>
                <w:sz w:val="20"/>
                <w:szCs w:val="20"/>
              </w:rPr>
              <w:t xml:space="preserve">. </w:t>
            </w:r>
          </w:p>
        </w:tc>
      </w:tr>
      <w:tr w:rsidR="0013654B" w:rsidRPr="00102605" w14:paraId="718FB933" w14:textId="77777777" w:rsidTr="00E55DCC">
        <w:tc>
          <w:tcPr>
            <w:tcW w:w="1240" w:type="dxa"/>
          </w:tcPr>
          <w:p w14:paraId="4C6AECBA" w14:textId="200F71F7" w:rsidR="0013654B" w:rsidRPr="00102605" w:rsidRDefault="0013654B" w:rsidP="00873187">
            <w:pPr>
              <w:spacing w:before="120" w:after="120"/>
              <w:jc w:val="center"/>
              <w:rPr>
                <w:rFonts w:cs="Arial"/>
                <w:sz w:val="20"/>
                <w:szCs w:val="20"/>
              </w:rPr>
            </w:pPr>
            <w:r w:rsidRPr="00102605">
              <w:rPr>
                <w:rFonts w:cs="Arial"/>
                <w:sz w:val="20"/>
                <w:szCs w:val="20"/>
              </w:rPr>
              <w:t>S02</w:t>
            </w:r>
          </w:p>
        </w:tc>
        <w:tc>
          <w:tcPr>
            <w:tcW w:w="8363" w:type="dxa"/>
          </w:tcPr>
          <w:p w14:paraId="071FFF3F" w14:textId="23561F02" w:rsidR="0013654B" w:rsidRPr="00102605" w:rsidRDefault="0013654B" w:rsidP="000511CA">
            <w:pPr>
              <w:spacing w:before="120" w:after="120"/>
              <w:rPr>
                <w:rFonts w:cs="Arial"/>
                <w:sz w:val="20"/>
                <w:szCs w:val="20"/>
              </w:rPr>
            </w:pPr>
            <w:r>
              <w:rPr>
                <w:rFonts w:cs="Arial"/>
                <w:sz w:val="20"/>
                <w:szCs w:val="20"/>
              </w:rPr>
              <w:t>The safeguard is not triggered because the scope of E-Motion Subprogram 2 does not involve bulk exploitation and/or risk of contamination of renewable resources, particularly soil and water. The in</w:t>
            </w:r>
            <w:r w:rsidRPr="009837A7">
              <w:rPr>
                <w:rFonts w:cs="Arial"/>
                <w:sz w:val="20"/>
                <w:szCs w:val="20"/>
              </w:rPr>
              <w:t>crease in electricity consumption</w:t>
            </w:r>
            <w:r>
              <w:rPr>
                <w:rFonts w:cs="Arial"/>
                <w:sz w:val="20"/>
                <w:szCs w:val="20"/>
              </w:rPr>
              <w:t xml:space="preserve"> does not pose any risk in terms of the availability of the resource for other uses. The energy consumed for re-charging comes from </w:t>
            </w:r>
            <w:r w:rsidRPr="009837A7">
              <w:rPr>
                <w:rFonts w:cs="Arial"/>
                <w:sz w:val="20"/>
                <w:szCs w:val="20"/>
              </w:rPr>
              <w:t>energy surplus (demand off-peak periods).</w:t>
            </w:r>
            <w:r w:rsidRPr="009837A7" w:rsidDel="00710549">
              <w:rPr>
                <w:rFonts w:cs="Arial"/>
                <w:sz w:val="20"/>
                <w:szCs w:val="20"/>
              </w:rPr>
              <w:t xml:space="preserve"> </w:t>
            </w:r>
          </w:p>
        </w:tc>
      </w:tr>
      <w:tr w:rsidR="0013654B" w:rsidRPr="00102605" w14:paraId="22BF6441" w14:textId="77777777" w:rsidTr="00E55DCC">
        <w:tc>
          <w:tcPr>
            <w:tcW w:w="1240" w:type="dxa"/>
          </w:tcPr>
          <w:p w14:paraId="5702EAC6" w14:textId="0E86D68A" w:rsidR="0013654B" w:rsidRPr="00102605" w:rsidRDefault="0013654B" w:rsidP="00873187">
            <w:pPr>
              <w:spacing w:before="120" w:after="120"/>
              <w:jc w:val="center"/>
              <w:rPr>
                <w:rFonts w:cs="Arial"/>
                <w:sz w:val="20"/>
                <w:szCs w:val="20"/>
              </w:rPr>
            </w:pPr>
            <w:r w:rsidRPr="00102605">
              <w:rPr>
                <w:rFonts w:cs="Arial"/>
                <w:sz w:val="20"/>
                <w:szCs w:val="20"/>
              </w:rPr>
              <w:t>S03</w:t>
            </w:r>
          </w:p>
        </w:tc>
        <w:tc>
          <w:tcPr>
            <w:tcW w:w="8363" w:type="dxa"/>
          </w:tcPr>
          <w:p w14:paraId="4D11E052" w14:textId="77777777" w:rsidR="0013654B" w:rsidRDefault="0013654B" w:rsidP="00656278">
            <w:pPr>
              <w:spacing w:before="120" w:after="120"/>
              <w:rPr>
                <w:rFonts w:cs="Arial"/>
                <w:sz w:val="20"/>
                <w:szCs w:val="20"/>
              </w:rPr>
            </w:pPr>
            <w:r>
              <w:rPr>
                <w:rFonts w:cs="Arial"/>
                <w:sz w:val="20"/>
                <w:szCs w:val="20"/>
              </w:rPr>
              <w:t>The safeguard is not triggered because the scope of E-Motion Subprogram 2 does not pose any risks on critical habitats, such as legally protected areas, natural habitats, or m</w:t>
            </w:r>
            <w:r w:rsidRPr="00656278">
              <w:rPr>
                <w:rFonts w:cs="Arial"/>
                <w:sz w:val="20"/>
                <w:szCs w:val="20"/>
              </w:rPr>
              <w:t>odified habitat with significant value for biodiversity</w:t>
            </w:r>
            <w:r>
              <w:rPr>
                <w:rFonts w:cs="Arial"/>
                <w:sz w:val="20"/>
                <w:szCs w:val="20"/>
              </w:rPr>
              <w:t>, and n</w:t>
            </w:r>
            <w:r w:rsidRPr="00102605">
              <w:rPr>
                <w:rFonts w:cs="Arial"/>
                <w:sz w:val="20"/>
                <w:szCs w:val="20"/>
              </w:rPr>
              <w:t>o potential adverse impacts are expected in relation to land use change and deforestation</w:t>
            </w:r>
            <w:r>
              <w:rPr>
                <w:rFonts w:cs="Arial"/>
                <w:sz w:val="20"/>
                <w:szCs w:val="20"/>
              </w:rPr>
              <w:t>.</w:t>
            </w:r>
          </w:p>
          <w:p w14:paraId="5BD8AF06" w14:textId="00A76CAD" w:rsidR="0013654B" w:rsidRPr="00102605" w:rsidRDefault="0013654B" w:rsidP="000511CA">
            <w:pPr>
              <w:spacing w:before="120" w:after="120"/>
              <w:rPr>
                <w:rFonts w:cs="Arial"/>
                <w:sz w:val="20"/>
                <w:szCs w:val="20"/>
              </w:rPr>
            </w:pPr>
            <w:r>
              <w:rPr>
                <w:rFonts w:cs="Arial"/>
                <w:sz w:val="20"/>
                <w:szCs w:val="20"/>
              </w:rPr>
              <w:t xml:space="preserve">Any subproject potentially affecting critical habitats, such as legally protected areas, natural </w:t>
            </w:r>
            <w:proofErr w:type="gramStart"/>
            <w:r>
              <w:rPr>
                <w:rFonts w:cs="Arial"/>
                <w:sz w:val="20"/>
                <w:szCs w:val="20"/>
              </w:rPr>
              <w:t>habitats</w:t>
            </w:r>
            <w:proofErr w:type="gramEnd"/>
            <w:r>
              <w:rPr>
                <w:rFonts w:cs="Arial"/>
                <w:sz w:val="20"/>
                <w:szCs w:val="20"/>
              </w:rPr>
              <w:t xml:space="preserve"> or m</w:t>
            </w:r>
            <w:r w:rsidRPr="00656278">
              <w:rPr>
                <w:rFonts w:cs="Arial"/>
                <w:sz w:val="20"/>
                <w:szCs w:val="20"/>
              </w:rPr>
              <w:t>odified habitat with significant value for biodiversity</w:t>
            </w:r>
            <w:r>
              <w:rPr>
                <w:rFonts w:cs="Arial"/>
                <w:sz w:val="20"/>
                <w:szCs w:val="20"/>
              </w:rPr>
              <w:t xml:space="preserve"> will be categorized as high E&amp;S risk (Cat. 1 or A) project, and thus will not be eligible.</w:t>
            </w:r>
          </w:p>
        </w:tc>
      </w:tr>
      <w:tr w:rsidR="0013654B" w:rsidRPr="00102605" w14:paraId="55EB528E" w14:textId="77777777" w:rsidTr="00E55DCC">
        <w:tc>
          <w:tcPr>
            <w:tcW w:w="1240" w:type="dxa"/>
          </w:tcPr>
          <w:p w14:paraId="7905C685" w14:textId="076819AE" w:rsidR="0013654B" w:rsidRPr="00102605" w:rsidRDefault="0013654B" w:rsidP="00C64282">
            <w:pPr>
              <w:spacing w:before="120" w:after="120"/>
              <w:jc w:val="center"/>
              <w:rPr>
                <w:rFonts w:cs="Arial"/>
                <w:sz w:val="20"/>
                <w:szCs w:val="20"/>
              </w:rPr>
            </w:pPr>
            <w:r w:rsidRPr="00102605">
              <w:rPr>
                <w:rFonts w:cs="Arial"/>
                <w:sz w:val="20"/>
                <w:szCs w:val="20"/>
              </w:rPr>
              <w:t>S04</w:t>
            </w:r>
          </w:p>
        </w:tc>
        <w:tc>
          <w:tcPr>
            <w:tcW w:w="8363" w:type="dxa"/>
          </w:tcPr>
          <w:p w14:paraId="403D1547" w14:textId="1DB85F0F" w:rsidR="0013654B" w:rsidRDefault="0013654B" w:rsidP="00B1484B">
            <w:pPr>
              <w:spacing w:before="120" w:after="120"/>
              <w:rPr>
                <w:sz w:val="20"/>
                <w:szCs w:val="20"/>
              </w:rPr>
            </w:pPr>
            <w:r w:rsidRPr="00DF7738">
              <w:rPr>
                <w:rFonts w:cs="Arial"/>
                <w:sz w:val="20"/>
                <w:szCs w:val="20"/>
              </w:rPr>
              <w:t>A</w:t>
            </w:r>
            <w:r>
              <w:rPr>
                <w:rFonts w:cs="Arial"/>
                <w:sz w:val="20"/>
                <w:szCs w:val="20"/>
              </w:rPr>
              <w:t>s already indicated, a</w:t>
            </w:r>
            <w:r w:rsidRPr="00DF7738">
              <w:rPr>
                <w:rFonts w:cs="Arial"/>
                <w:sz w:val="20"/>
                <w:szCs w:val="20"/>
              </w:rPr>
              <w:t xml:space="preserve">n Integrated EV Battery waste </w:t>
            </w:r>
            <w:r w:rsidRPr="00087E0A">
              <w:rPr>
                <w:rFonts w:cs="Arial"/>
                <w:sz w:val="20"/>
                <w:szCs w:val="20"/>
              </w:rPr>
              <w:t xml:space="preserve">Management </w:t>
            </w:r>
            <w:r w:rsidR="006E020F">
              <w:rPr>
                <w:rFonts w:cs="Arial"/>
                <w:sz w:val="20"/>
                <w:szCs w:val="20"/>
              </w:rPr>
              <w:t>Program</w:t>
            </w:r>
            <w:r w:rsidRPr="00087E0A">
              <w:rPr>
                <w:rFonts w:cs="Arial"/>
                <w:sz w:val="20"/>
                <w:szCs w:val="20"/>
              </w:rPr>
              <w:t xml:space="preserve"> must be developed as part of each subproject</w:t>
            </w:r>
            <w:r w:rsidRPr="0013654B">
              <w:rPr>
                <w:rFonts w:cs="Arial"/>
                <w:sz w:val="20"/>
                <w:szCs w:val="20"/>
              </w:rPr>
              <w:t xml:space="preserve">’s ESMP. The </w:t>
            </w:r>
            <w:r w:rsidR="006E020F">
              <w:rPr>
                <w:rFonts w:cs="Arial"/>
                <w:sz w:val="20"/>
                <w:szCs w:val="20"/>
              </w:rPr>
              <w:t>Program</w:t>
            </w:r>
            <w:r w:rsidRPr="0013654B">
              <w:rPr>
                <w:rFonts w:cs="Arial"/>
                <w:sz w:val="20"/>
                <w:szCs w:val="20"/>
              </w:rPr>
              <w:t xml:space="preserve"> will dictate the requirements to be met for </w:t>
            </w:r>
            <w:r w:rsidRPr="00F821FB">
              <w:rPr>
                <w:sz w:val="20"/>
                <w:szCs w:val="20"/>
              </w:rPr>
              <w:t xml:space="preserve">handling, transporting, storing, recycling in </w:t>
            </w:r>
            <w:proofErr w:type="gramStart"/>
            <w:r w:rsidRPr="00F821FB">
              <w:rPr>
                <w:sz w:val="20"/>
                <w:szCs w:val="20"/>
              </w:rPr>
              <w:t>situ</w:t>
            </w:r>
            <w:proofErr w:type="gramEnd"/>
            <w:r w:rsidRPr="00F821FB">
              <w:rPr>
                <w:sz w:val="20"/>
                <w:szCs w:val="20"/>
              </w:rPr>
              <w:t xml:space="preserve"> or exporting for recycling, and safe disposal.</w:t>
            </w:r>
          </w:p>
          <w:p w14:paraId="02660A1B" w14:textId="45238DD4" w:rsidR="0013654B" w:rsidRPr="00DF7738" w:rsidRDefault="0013654B" w:rsidP="00B1484B">
            <w:pPr>
              <w:spacing w:before="120" w:after="120"/>
              <w:rPr>
                <w:sz w:val="20"/>
                <w:szCs w:val="20"/>
              </w:rPr>
            </w:pPr>
            <w:r>
              <w:rPr>
                <w:sz w:val="20"/>
                <w:szCs w:val="20"/>
              </w:rPr>
              <w:t xml:space="preserve">The party responsible for implementing de </w:t>
            </w:r>
            <w:r w:rsidR="006E020F">
              <w:rPr>
                <w:sz w:val="20"/>
                <w:szCs w:val="20"/>
              </w:rPr>
              <w:t>Program</w:t>
            </w:r>
            <w:r>
              <w:rPr>
                <w:sz w:val="20"/>
                <w:szCs w:val="20"/>
              </w:rPr>
              <w:t xml:space="preserve"> mut be defined by the country´s regulations, if already in place, or </w:t>
            </w:r>
            <w:r w:rsidRPr="00C8548A">
              <w:rPr>
                <w:sz w:val="20"/>
                <w:szCs w:val="20"/>
              </w:rPr>
              <w:t xml:space="preserve">agreed </w:t>
            </w:r>
            <w:r>
              <w:rPr>
                <w:sz w:val="20"/>
                <w:szCs w:val="20"/>
              </w:rPr>
              <w:t xml:space="preserve">upon </w:t>
            </w:r>
            <w:r w:rsidRPr="00C8548A">
              <w:rPr>
                <w:sz w:val="20"/>
                <w:szCs w:val="20"/>
              </w:rPr>
              <w:t xml:space="preserve">at the country level </w:t>
            </w:r>
            <w:r>
              <w:rPr>
                <w:sz w:val="20"/>
                <w:szCs w:val="20"/>
              </w:rPr>
              <w:t>for the purpose of Subprogram 2.</w:t>
            </w:r>
          </w:p>
          <w:p w14:paraId="1F9E61F6" w14:textId="77777777" w:rsidR="0013654B" w:rsidRPr="00DF7738" w:rsidRDefault="0013654B" w:rsidP="00B1484B">
            <w:pPr>
              <w:spacing w:before="120" w:after="120"/>
              <w:rPr>
                <w:rFonts w:cs="Arial"/>
                <w:sz w:val="20"/>
                <w:szCs w:val="20"/>
              </w:rPr>
            </w:pPr>
            <w:r w:rsidRPr="00087E0A">
              <w:rPr>
                <w:rFonts w:cs="Arial"/>
                <w:sz w:val="20"/>
                <w:szCs w:val="20"/>
              </w:rPr>
              <w:t xml:space="preserve">The option of re-use will occur </w:t>
            </w:r>
            <w:r>
              <w:rPr>
                <w:rFonts w:cs="Arial"/>
                <w:sz w:val="20"/>
                <w:szCs w:val="20"/>
              </w:rPr>
              <w:t>as a response to market incentives as more viable technical options and applications are developed.</w:t>
            </w:r>
          </w:p>
          <w:p w14:paraId="1A20DE08" w14:textId="77777777" w:rsidR="0013654B" w:rsidRPr="00DF7738" w:rsidRDefault="0013654B" w:rsidP="00B1484B">
            <w:pPr>
              <w:spacing w:before="120" w:after="120"/>
              <w:rPr>
                <w:rFonts w:cs="Arial"/>
                <w:sz w:val="20"/>
                <w:szCs w:val="20"/>
              </w:rPr>
            </w:pPr>
            <w:r w:rsidRPr="00087E0A">
              <w:rPr>
                <w:rFonts w:cs="Arial"/>
                <w:sz w:val="20"/>
                <w:szCs w:val="20"/>
              </w:rPr>
              <w:t>Only licensed operators should manage the batteries at the end</w:t>
            </w:r>
            <w:r>
              <w:rPr>
                <w:rFonts w:cs="Arial"/>
                <w:sz w:val="20"/>
                <w:szCs w:val="20"/>
              </w:rPr>
              <w:t>-</w:t>
            </w:r>
            <w:r w:rsidRPr="00DF7738">
              <w:rPr>
                <w:rFonts w:cs="Arial"/>
                <w:sz w:val="20"/>
                <w:szCs w:val="20"/>
              </w:rPr>
              <w:t>of</w:t>
            </w:r>
            <w:r>
              <w:rPr>
                <w:rFonts w:cs="Arial"/>
                <w:sz w:val="20"/>
                <w:szCs w:val="20"/>
              </w:rPr>
              <w:t>-</w:t>
            </w:r>
            <w:r w:rsidRPr="00DF7738">
              <w:rPr>
                <w:rFonts w:cs="Arial"/>
                <w:sz w:val="20"/>
                <w:szCs w:val="20"/>
              </w:rPr>
              <w:t>life.</w:t>
            </w:r>
          </w:p>
          <w:p w14:paraId="6C927425" w14:textId="62F211C7" w:rsidR="0013654B" w:rsidRDefault="0013654B" w:rsidP="000511CA">
            <w:pPr>
              <w:spacing w:before="120" w:after="120"/>
              <w:rPr>
                <w:rFonts w:cs="Arial"/>
                <w:sz w:val="20"/>
                <w:szCs w:val="20"/>
              </w:rPr>
            </w:pPr>
            <w:r>
              <w:rPr>
                <w:rFonts w:cs="Arial"/>
                <w:sz w:val="20"/>
                <w:szCs w:val="20"/>
              </w:rPr>
              <w:t xml:space="preserve">The subproject specific ESMP must also include management specifications for the handling, treating, recycling and final disposal of hazardous waste material flows originating </w:t>
            </w:r>
            <w:proofErr w:type="spellStart"/>
            <w:r>
              <w:rPr>
                <w:rFonts w:cs="Arial"/>
                <w:sz w:val="20"/>
                <w:szCs w:val="20"/>
              </w:rPr>
              <w:t>form</w:t>
            </w:r>
            <w:proofErr w:type="spellEnd"/>
            <w:r>
              <w:rPr>
                <w:rFonts w:cs="Arial"/>
                <w:sz w:val="20"/>
                <w:szCs w:val="20"/>
              </w:rPr>
              <w:t xml:space="preserve"> the scrapping of conventional vehicles such as lead-acid batteries, </w:t>
            </w:r>
            <w:proofErr w:type="gramStart"/>
            <w:r>
              <w:rPr>
                <w:rFonts w:cs="Arial"/>
                <w:sz w:val="20"/>
                <w:szCs w:val="20"/>
              </w:rPr>
              <w:t>oils</w:t>
            </w:r>
            <w:proofErr w:type="gramEnd"/>
            <w:r>
              <w:rPr>
                <w:rFonts w:cs="Arial"/>
                <w:sz w:val="20"/>
                <w:szCs w:val="20"/>
              </w:rPr>
              <w:t xml:space="preserve"> and lubricants, used tyres and scrap metals. </w:t>
            </w:r>
          </w:p>
          <w:p w14:paraId="5B4735E4" w14:textId="104A43C8" w:rsidR="0013654B" w:rsidRPr="00102605" w:rsidRDefault="0013654B" w:rsidP="000511CA">
            <w:pPr>
              <w:spacing w:before="120" w:after="120"/>
              <w:rPr>
                <w:rFonts w:cs="Arial"/>
                <w:sz w:val="20"/>
                <w:szCs w:val="20"/>
              </w:rPr>
            </w:pPr>
            <w:r w:rsidRPr="001A1013">
              <w:rPr>
                <w:rFonts w:cs="Arial"/>
                <w:sz w:val="20"/>
                <w:szCs w:val="20"/>
              </w:rPr>
              <w:t xml:space="preserve">Only regulated </w:t>
            </w:r>
            <w:r>
              <w:rPr>
                <w:rFonts w:cs="Arial"/>
                <w:sz w:val="20"/>
                <w:szCs w:val="20"/>
              </w:rPr>
              <w:t xml:space="preserve">operators and </w:t>
            </w:r>
            <w:r w:rsidRPr="001A1013">
              <w:rPr>
                <w:rFonts w:cs="Arial"/>
                <w:sz w:val="20"/>
                <w:szCs w:val="20"/>
              </w:rPr>
              <w:t>sites should be allowed to undertake scrapping and dismantling work</w:t>
            </w:r>
            <w:r>
              <w:rPr>
                <w:rFonts w:cs="Arial"/>
                <w:sz w:val="20"/>
                <w:szCs w:val="20"/>
              </w:rPr>
              <w:t xml:space="preserve"> both form conventional vehicles as well as e-vehicles.</w:t>
            </w:r>
          </w:p>
        </w:tc>
      </w:tr>
      <w:tr w:rsidR="0013654B" w:rsidRPr="00102605" w14:paraId="6BAEC42C" w14:textId="77777777" w:rsidTr="00E55DCC">
        <w:tc>
          <w:tcPr>
            <w:tcW w:w="1240" w:type="dxa"/>
          </w:tcPr>
          <w:p w14:paraId="59069FC1" w14:textId="4C6620B3" w:rsidR="0013654B" w:rsidRPr="00102605" w:rsidRDefault="0013654B" w:rsidP="00873187">
            <w:pPr>
              <w:spacing w:before="120" w:after="120"/>
              <w:jc w:val="center"/>
              <w:rPr>
                <w:rFonts w:cs="Arial"/>
                <w:sz w:val="20"/>
                <w:szCs w:val="20"/>
              </w:rPr>
            </w:pPr>
            <w:r w:rsidRPr="00102605">
              <w:rPr>
                <w:rFonts w:cs="Arial"/>
                <w:sz w:val="20"/>
                <w:szCs w:val="20"/>
              </w:rPr>
              <w:t>S05</w:t>
            </w:r>
          </w:p>
        </w:tc>
        <w:tc>
          <w:tcPr>
            <w:tcW w:w="8363" w:type="dxa"/>
          </w:tcPr>
          <w:p w14:paraId="6D3D81B6" w14:textId="6A363D24" w:rsidR="0013654B" w:rsidRDefault="0013654B" w:rsidP="000511CA">
            <w:pPr>
              <w:spacing w:before="120" w:after="120"/>
              <w:rPr>
                <w:rFonts w:cs="Arial"/>
                <w:sz w:val="20"/>
                <w:szCs w:val="20"/>
              </w:rPr>
            </w:pPr>
            <w:r>
              <w:rPr>
                <w:rFonts w:cs="Arial"/>
                <w:sz w:val="20"/>
                <w:szCs w:val="20"/>
              </w:rPr>
              <w:t>The subproject specific ESMP, when warranted, must contain measures to ensure the protection of the</w:t>
            </w:r>
            <w:r w:rsidRPr="00102605">
              <w:rPr>
                <w:rFonts w:cs="Arial"/>
                <w:sz w:val="20"/>
                <w:szCs w:val="20"/>
              </w:rPr>
              <w:t xml:space="preserve"> cultural heritage from </w:t>
            </w:r>
            <w:r>
              <w:rPr>
                <w:rFonts w:cs="Arial"/>
                <w:sz w:val="20"/>
                <w:szCs w:val="20"/>
              </w:rPr>
              <w:t xml:space="preserve">loss or damage and </w:t>
            </w:r>
            <w:r w:rsidRPr="00102605">
              <w:rPr>
                <w:rFonts w:cs="Arial"/>
                <w:sz w:val="20"/>
                <w:szCs w:val="20"/>
              </w:rPr>
              <w:t>support its preservation.</w:t>
            </w:r>
          </w:p>
          <w:p w14:paraId="6BA620FF" w14:textId="77777777" w:rsidR="0013654B" w:rsidRDefault="0013654B" w:rsidP="000511CA">
            <w:pPr>
              <w:spacing w:before="120" w:after="120"/>
              <w:rPr>
                <w:rFonts w:cs="Arial"/>
                <w:sz w:val="20"/>
                <w:szCs w:val="20"/>
              </w:rPr>
            </w:pPr>
            <w:r>
              <w:rPr>
                <w:rFonts w:cs="Arial"/>
                <w:sz w:val="20"/>
                <w:szCs w:val="20"/>
              </w:rPr>
              <w:t xml:space="preserve">These measures may include the design and application of a cultural resources management plan to the application of </w:t>
            </w:r>
            <w:r w:rsidRPr="007F2EEC">
              <w:rPr>
                <w:rFonts w:cs="Arial"/>
                <w:sz w:val="20"/>
                <w:szCs w:val="20"/>
              </w:rPr>
              <w:t>field-based stud</w:t>
            </w:r>
            <w:r>
              <w:rPr>
                <w:rFonts w:cs="Arial"/>
                <w:sz w:val="20"/>
                <w:szCs w:val="20"/>
              </w:rPr>
              <w:t xml:space="preserve">ies and </w:t>
            </w:r>
            <w:r w:rsidRPr="007F2EEC">
              <w:rPr>
                <w:rFonts w:cs="Arial"/>
                <w:sz w:val="20"/>
                <w:szCs w:val="20"/>
              </w:rPr>
              <w:t>documentation</w:t>
            </w:r>
            <w:r>
              <w:rPr>
                <w:rFonts w:cs="Arial"/>
                <w:sz w:val="20"/>
                <w:szCs w:val="20"/>
              </w:rPr>
              <w:t xml:space="preserve"> </w:t>
            </w:r>
            <w:r w:rsidRPr="007F2EEC">
              <w:rPr>
                <w:rFonts w:cs="Arial"/>
                <w:sz w:val="20"/>
                <w:szCs w:val="20"/>
              </w:rPr>
              <w:t xml:space="preserve">of </w:t>
            </w:r>
            <w:r>
              <w:rPr>
                <w:rFonts w:cs="Arial"/>
                <w:sz w:val="20"/>
                <w:szCs w:val="20"/>
              </w:rPr>
              <w:t xml:space="preserve">findings as well chance findings protocols </w:t>
            </w:r>
            <w:r w:rsidRPr="00102605">
              <w:rPr>
                <w:rFonts w:cs="Arial"/>
                <w:sz w:val="20"/>
                <w:szCs w:val="20"/>
              </w:rPr>
              <w:t>during any construction activity</w:t>
            </w:r>
            <w:r>
              <w:rPr>
                <w:rFonts w:cs="Arial"/>
                <w:sz w:val="20"/>
                <w:szCs w:val="20"/>
              </w:rPr>
              <w:t>.</w:t>
            </w:r>
          </w:p>
          <w:p w14:paraId="1A1D28B1" w14:textId="12008476" w:rsidR="0013654B" w:rsidRPr="00102605" w:rsidRDefault="0013654B" w:rsidP="000511CA">
            <w:pPr>
              <w:spacing w:before="120" w:after="120"/>
              <w:rPr>
                <w:rFonts w:cs="Arial"/>
                <w:sz w:val="20"/>
                <w:szCs w:val="20"/>
              </w:rPr>
            </w:pPr>
            <w:r>
              <w:rPr>
                <w:rFonts w:cs="Arial"/>
                <w:sz w:val="20"/>
                <w:szCs w:val="20"/>
              </w:rPr>
              <w:t xml:space="preserve">The management and preservation of cultural resource findings must be </w:t>
            </w:r>
            <w:r w:rsidRPr="00102605">
              <w:rPr>
                <w:rFonts w:cs="Arial"/>
                <w:sz w:val="20"/>
                <w:szCs w:val="20"/>
              </w:rPr>
              <w:t>undertaken by or in coordination with the competent authorities</w:t>
            </w:r>
            <w:r>
              <w:rPr>
                <w:rFonts w:cs="Arial"/>
                <w:sz w:val="20"/>
                <w:szCs w:val="20"/>
              </w:rPr>
              <w:t>.</w:t>
            </w:r>
          </w:p>
        </w:tc>
      </w:tr>
      <w:tr w:rsidR="0013654B" w:rsidRPr="00102605" w14:paraId="6588EFF6" w14:textId="77777777" w:rsidTr="00E55DCC">
        <w:tc>
          <w:tcPr>
            <w:tcW w:w="1240" w:type="dxa"/>
          </w:tcPr>
          <w:p w14:paraId="57C5E86D" w14:textId="0CC4F4EF" w:rsidR="0013654B" w:rsidRPr="00102605" w:rsidRDefault="0013654B" w:rsidP="00873187">
            <w:pPr>
              <w:spacing w:before="120" w:after="120"/>
              <w:jc w:val="center"/>
              <w:rPr>
                <w:rFonts w:cs="Arial"/>
                <w:sz w:val="20"/>
                <w:szCs w:val="20"/>
              </w:rPr>
            </w:pPr>
            <w:r w:rsidRPr="00102605">
              <w:rPr>
                <w:rFonts w:cs="Arial"/>
                <w:sz w:val="20"/>
                <w:szCs w:val="20"/>
              </w:rPr>
              <w:t>S06</w:t>
            </w:r>
          </w:p>
        </w:tc>
        <w:tc>
          <w:tcPr>
            <w:tcW w:w="8363" w:type="dxa"/>
          </w:tcPr>
          <w:p w14:paraId="03FFFD5F" w14:textId="43A9C7CD" w:rsidR="0013654B" w:rsidRDefault="0013654B" w:rsidP="000511CA">
            <w:pPr>
              <w:spacing w:before="120" w:after="120"/>
              <w:rPr>
                <w:rFonts w:cs="Arial"/>
                <w:sz w:val="20"/>
                <w:szCs w:val="20"/>
              </w:rPr>
            </w:pPr>
            <w:r w:rsidRPr="00123DCD">
              <w:rPr>
                <w:rFonts w:cs="Arial"/>
                <w:sz w:val="20"/>
                <w:szCs w:val="20"/>
              </w:rPr>
              <w:t xml:space="preserve">Sub-projects with potential adverse impacts on </w:t>
            </w:r>
            <w:r>
              <w:rPr>
                <w:rFonts w:cs="Arial"/>
                <w:sz w:val="20"/>
                <w:szCs w:val="20"/>
              </w:rPr>
              <w:t xml:space="preserve">Ethnic Groups or </w:t>
            </w:r>
            <w:r w:rsidRPr="00123DCD">
              <w:rPr>
                <w:rFonts w:cs="Arial"/>
                <w:sz w:val="20"/>
                <w:szCs w:val="20"/>
              </w:rPr>
              <w:t xml:space="preserve">Indigenous </w:t>
            </w:r>
            <w:r>
              <w:rPr>
                <w:rFonts w:cs="Arial"/>
                <w:sz w:val="20"/>
                <w:szCs w:val="20"/>
              </w:rPr>
              <w:t>P</w:t>
            </w:r>
            <w:r w:rsidRPr="00123DCD">
              <w:rPr>
                <w:rFonts w:cs="Arial"/>
                <w:sz w:val="20"/>
                <w:szCs w:val="20"/>
              </w:rPr>
              <w:t>eople will be categorized as high E&amp;S risk (Cat. 1 or A) project, and thus will not be eligible.</w:t>
            </w:r>
          </w:p>
          <w:p w14:paraId="6B6D920D" w14:textId="202D7B17" w:rsidR="0013654B" w:rsidRPr="00102605" w:rsidRDefault="0013654B" w:rsidP="00087E0A">
            <w:pPr>
              <w:spacing w:before="120" w:after="120"/>
              <w:rPr>
                <w:rFonts w:cs="Arial"/>
                <w:sz w:val="20"/>
                <w:szCs w:val="20"/>
              </w:rPr>
            </w:pPr>
            <w:r>
              <w:rPr>
                <w:rFonts w:cs="Arial"/>
                <w:sz w:val="20"/>
                <w:szCs w:val="20"/>
              </w:rPr>
              <w:t xml:space="preserve">Implementing partners </w:t>
            </w:r>
            <w:r w:rsidRPr="00102605">
              <w:rPr>
                <w:rFonts w:cs="Arial"/>
                <w:sz w:val="20"/>
                <w:szCs w:val="20"/>
              </w:rPr>
              <w:t xml:space="preserve">will conduct stakeholder engagement strategies </w:t>
            </w:r>
            <w:r>
              <w:rPr>
                <w:rFonts w:cs="Arial"/>
                <w:sz w:val="20"/>
                <w:szCs w:val="20"/>
              </w:rPr>
              <w:t xml:space="preserve">with affected parties that must be culturally appropriate in the case ethnic group members are identified in the subprojects area of influence. If warranted, implementing partners may activate an </w:t>
            </w:r>
            <w:r w:rsidRPr="00102605">
              <w:rPr>
                <w:rFonts w:cs="Arial"/>
                <w:sz w:val="20"/>
                <w:szCs w:val="20"/>
              </w:rPr>
              <w:t xml:space="preserve">Ethnic Group Plan, </w:t>
            </w:r>
            <w:r>
              <w:rPr>
                <w:rFonts w:cs="Arial"/>
                <w:sz w:val="20"/>
                <w:szCs w:val="20"/>
              </w:rPr>
              <w:t>agreed</w:t>
            </w:r>
            <w:r w:rsidRPr="00102605">
              <w:rPr>
                <w:rFonts w:cs="Arial"/>
                <w:sz w:val="20"/>
                <w:szCs w:val="20"/>
              </w:rPr>
              <w:t xml:space="preserve"> by consent, depicting the necessary measures to facilitate the positive impacts to occur, to mitigate or compensate for the negative impacts and to ensure that the benefits generated by the project are inclusive and culturally appropriate. This plan must incorporate a culturally appropriate engagement approach.</w:t>
            </w:r>
          </w:p>
        </w:tc>
      </w:tr>
      <w:tr w:rsidR="0013654B" w:rsidRPr="00102605" w14:paraId="41963A74" w14:textId="77777777" w:rsidTr="00E55DCC">
        <w:tc>
          <w:tcPr>
            <w:tcW w:w="1240" w:type="dxa"/>
          </w:tcPr>
          <w:p w14:paraId="132AD5FD" w14:textId="79FBD5FC" w:rsidR="0013654B" w:rsidRPr="00102605" w:rsidRDefault="0013654B" w:rsidP="00873187">
            <w:pPr>
              <w:spacing w:before="120" w:after="120"/>
              <w:jc w:val="center"/>
              <w:rPr>
                <w:rFonts w:cs="Arial"/>
                <w:sz w:val="20"/>
                <w:szCs w:val="20"/>
              </w:rPr>
            </w:pPr>
            <w:r w:rsidRPr="00102605">
              <w:rPr>
                <w:rFonts w:cs="Arial"/>
                <w:sz w:val="20"/>
                <w:szCs w:val="20"/>
              </w:rPr>
              <w:t>S07</w:t>
            </w:r>
          </w:p>
        </w:tc>
        <w:tc>
          <w:tcPr>
            <w:tcW w:w="8363" w:type="dxa"/>
          </w:tcPr>
          <w:p w14:paraId="5D05B396" w14:textId="77777777" w:rsidR="0013654B" w:rsidRDefault="0013654B" w:rsidP="000511CA">
            <w:pPr>
              <w:spacing w:before="120" w:after="120"/>
              <w:rPr>
                <w:rFonts w:cs="Arial"/>
                <w:sz w:val="20"/>
                <w:szCs w:val="20"/>
              </w:rPr>
            </w:pPr>
            <w:r>
              <w:rPr>
                <w:rFonts w:cs="Arial"/>
                <w:sz w:val="20"/>
                <w:szCs w:val="20"/>
              </w:rPr>
              <w:t xml:space="preserve">If a subproject requires lands for the development of any infrastructure and cannot avoid forced resettlement (due to </w:t>
            </w:r>
            <w:r w:rsidRPr="000B3AE6">
              <w:rPr>
                <w:rFonts w:cs="Arial"/>
                <w:sz w:val="20"/>
                <w:szCs w:val="20"/>
              </w:rPr>
              <w:t xml:space="preserve">economic </w:t>
            </w:r>
            <w:r>
              <w:rPr>
                <w:rFonts w:cs="Arial"/>
                <w:sz w:val="20"/>
                <w:szCs w:val="20"/>
              </w:rPr>
              <w:t xml:space="preserve">and/or physical </w:t>
            </w:r>
            <w:r w:rsidRPr="000B3AE6">
              <w:rPr>
                <w:rFonts w:cs="Arial"/>
                <w:sz w:val="20"/>
                <w:szCs w:val="20"/>
              </w:rPr>
              <w:t>displaceme</w:t>
            </w:r>
            <w:r>
              <w:rPr>
                <w:rFonts w:cs="Arial"/>
                <w:sz w:val="20"/>
                <w:szCs w:val="20"/>
              </w:rPr>
              <w:t>nt), the implementing partners must structure a resettlement plan, determining the c</w:t>
            </w:r>
            <w:r w:rsidRPr="00A97C28">
              <w:rPr>
                <w:rFonts w:cs="Arial"/>
                <w:sz w:val="20"/>
                <w:szCs w:val="20"/>
              </w:rPr>
              <w:t xml:space="preserve">ompensation and </w:t>
            </w:r>
            <w:r>
              <w:rPr>
                <w:rFonts w:cs="Arial"/>
                <w:sz w:val="20"/>
                <w:szCs w:val="20"/>
              </w:rPr>
              <w:t>b</w:t>
            </w:r>
            <w:r w:rsidRPr="00A97C28">
              <w:rPr>
                <w:rFonts w:cs="Arial"/>
                <w:sz w:val="20"/>
                <w:szCs w:val="20"/>
              </w:rPr>
              <w:t xml:space="preserve">enefits for </w:t>
            </w:r>
            <w:r>
              <w:rPr>
                <w:rFonts w:cs="Arial"/>
                <w:sz w:val="20"/>
                <w:szCs w:val="20"/>
              </w:rPr>
              <w:t>d</w:t>
            </w:r>
            <w:r w:rsidRPr="00A97C28">
              <w:rPr>
                <w:rFonts w:cs="Arial"/>
                <w:sz w:val="20"/>
                <w:szCs w:val="20"/>
              </w:rPr>
              <w:t xml:space="preserve">isplaced </w:t>
            </w:r>
            <w:r>
              <w:rPr>
                <w:rFonts w:cs="Arial"/>
                <w:sz w:val="20"/>
                <w:szCs w:val="20"/>
              </w:rPr>
              <w:t>p</w:t>
            </w:r>
            <w:r w:rsidRPr="00A97C28">
              <w:rPr>
                <w:rFonts w:cs="Arial"/>
                <w:sz w:val="20"/>
                <w:szCs w:val="20"/>
              </w:rPr>
              <w:t>ersons</w:t>
            </w:r>
            <w:r>
              <w:rPr>
                <w:rFonts w:cs="Arial"/>
                <w:sz w:val="20"/>
                <w:szCs w:val="20"/>
              </w:rPr>
              <w:t xml:space="preserve"> or l</w:t>
            </w:r>
            <w:r w:rsidRPr="00A97C28">
              <w:rPr>
                <w:rFonts w:cs="Arial"/>
                <w:sz w:val="20"/>
                <w:szCs w:val="20"/>
              </w:rPr>
              <w:t xml:space="preserve">ivelihood </w:t>
            </w:r>
            <w:r>
              <w:rPr>
                <w:rFonts w:cs="Arial"/>
                <w:sz w:val="20"/>
                <w:szCs w:val="20"/>
              </w:rPr>
              <w:t>r</w:t>
            </w:r>
            <w:r w:rsidRPr="00A97C28">
              <w:rPr>
                <w:rFonts w:cs="Arial"/>
                <w:sz w:val="20"/>
                <w:szCs w:val="20"/>
              </w:rPr>
              <w:t xml:space="preserve">estoration </w:t>
            </w:r>
            <w:r>
              <w:rPr>
                <w:rFonts w:cs="Arial"/>
                <w:sz w:val="20"/>
                <w:szCs w:val="20"/>
              </w:rPr>
              <w:t>plan. Either plan must be consulted and agreed upon by the affected parties.</w:t>
            </w:r>
          </w:p>
          <w:p w14:paraId="3EC75710" w14:textId="77777777" w:rsidR="0013654B" w:rsidRDefault="0013654B" w:rsidP="000511CA">
            <w:pPr>
              <w:spacing w:before="120" w:after="120"/>
              <w:rPr>
                <w:rFonts w:cs="Arial"/>
                <w:sz w:val="20"/>
                <w:szCs w:val="20"/>
              </w:rPr>
            </w:pPr>
            <w:r>
              <w:rPr>
                <w:rFonts w:cs="Arial"/>
                <w:sz w:val="20"/>
                <w:szCs w:val="20"/>
              </w:rPr>
              <w:t>Must be noted that the</w:t>
            </w:r>
            <w:r w:rsidRPr="00932AF7">
              <w:rPr>
                <w:rFonts w:cs="Arial"/>
                <w:sz w:val="20"/>
                <w:szCs w:val="20"/>
              </w:rPr>
              <w:t xml:space="preserve"> scope of</w:t>
            </w:r>
            <w:r>
              <w:rPr>
                <w:rFonts w:cs="Arial"/>
                <w:sz w:val="20"/>
                <w:szCs w:val="20"/>
              </w:rPr>
              <w:t xml:space="preserve"> the </w:t>
            </w:r>
            <w:r w:rsidRPr="00932AF7">
              <w:rPr>
                <w:rFonts w:cs="Arial"/>
                <w:sz w:val="20"/>
                <w:szCs w:val="20"/>
              </w:rPr>
              <w:t>E-Motion Subprogram 2</w:t>
            </w:r>
            <w:r>
              <w:rPr>
                <w:rFonts w:cs="Arial"/>
                <w:sz w:val="20"/>
                <w:szCs w:val="20"/>
              </w:rPr>
              <w:t xml:space="preserve"> does not contemplate the construction of major infrastructure works, such as BRT systems, multimodal </w:t>
            </w:r>
            <w:proofErr w:type="gramStart"/>
            <w:r>
              <w:rPr>
                <w:rFonts w:cs="Arial"/>
                <w:sz w:val="20"/>
                <w:szCs w:val="20"/>
              </w:rPr>
              <w:t>stations</w:t>
            </w:r>
            <w:proofErr w:type="gramEnd"/>
            <w:r>
              <w:rPr>
                <w:rFonts w:cs="Arial"/>
                <w:sz w:val="20"/>
                <w:szCs w:val="20"/>
              </w:rPr>
              <w:t xml:space="preserve"> or new large bus depots.</w:t>
            </w:r>
          </w:p>
          <w:p w14:paraId="0063C4ED" w14:textId="77777777" w:rsidR="0013654B" w:rsidRDefault="0013654B" w:rsidP="002163A7">
            <w:pPr>
              <w:spacing w:before="120" w:after="120"/>
              <w:rPr>
                <w:rFonts w:cs="Arial"/>
                <w:sz w:val="20"/>
                <w:szCs w:val="20"/>
              </w:rPr>
            </w:pPr>
            <w:r>
              <w:rPr>
                <w:rFonts w:cs="Arial"/>
                <w:sz w:val="20"/>
                <w:szCs w:val="20"/>
              </w:rPr>
              <w:t>The Subprogram 2 involves the i</w:t>
            </w:r>
            <w:r w:rsidRPr="00102605">
              <w:rPr>
                <w:rFonts w:cs="Arial"/>
                <w:sz w:val="20"/>
                <w:szCs w:val="20"/>
              </w:rPr>
              <w:t xml:space="preserve">nstallation of </w:t>
            </w:r>
            <w:r>
              <w:rPr>
                <w:rFonts w:cs="Arial"/>
                <w:sz w:val="20"/>
                <w:szCs w:val="20"/>
              </w:rPr>
              <w:t>small-scale public EV c</w:t>
            </w:r>
            <w:r w:rsidRPr="00102605">
              <w:rPr>
                <w:rFonts w:cs="Arial"/>
                <w:sz w:val="20"/>
                <w:szCs w:val="20"/>
              </w:rPr>
              <w:t>harging infrastructure</w:t>
            </w:r>
            <w:r>
              <w:rPr>
                <w:rFonts w:cs="Arial"/>
                <w:sz w:val="20"/>
                <w:szCs w:val="20"/>
              </w:rPr>
              <w:t xml:space="preserve"> in different urban sites, upgrading bus depots and smart facilities and installing e-bus charging stations at bus depots. To power the charging stations, it is necessary to lay underground</w:t>
            </w:r>
            <w:r w:rsidRPr="00E35569">
              <w:rPr>
                <w:rFonts w:cs="Arial"/>
                <w:sz w:val="20"/>
                <w:szCs w:val="20"/>
              </w:rPr>
              <w:t xml:space="preserve"> low voltage </w:t>
            </w:r>
            <w:r>
              <w:rPr>
                <w:rFonts w:cs="Arial"/>
                <w:sz w:val="20"/>
                <w:szCs w:val="20"/>
              </w:rPr>
              <w:t xml:space="preserve">electrical </w:t>
            </w:r>
            <w:r w:rsidRPr="00E35569">
              <w:rPr>
                <w:rFonts w:cs="Arial"/>
                <w:sz w:val="20"/>
                <w:szCs w:val="20"/>
              </w:rPr>
              <w:t>lines</w:t>
            </w:r>
            <w:r>
              <w:rPr>
                <w:rFonts w:cs="Arial"/>
                <w:sz w:val="20"/>
                <w:szCs w:val="20"/>
              </w:rPr>
              <w:t>. The new urban charging stations as well as the new connecting power lines, will be located on lands of public domain property of municipal / state authorities. On the other hand, e-bas charging stations will be in the sites belonging to the bus companies. For this reason, no resettlement processes are expected.</w:t>
            </w:r>
          </w:p>
          <w:p w14:paraId="19B14AFB" w14:textId="4FC15205" w:rsidR="0013654B" w:rsidRPr="00102605" w:rsidRDefault="0013654B" w:rsidP="000511CA">
            <w:pPr>
              <w:spacing w:before="120" w:after="120"/>
              <w:rPr>
                <w:rFonts w:cs="Arial"/>
                <w:sz w:val="20"/>
                <w:szCs w:val="20"/>
              </w:rPr>
            </w:pPr>
            <w:r>
              <w:rPr>
                <w:rFonts w:cs="Arial"/>
                <w:sz w:val="20"/>
                <w:szCs w:val="20"/>
              </w:rPr>
              <w:t xml:space="preserve">Nevertheless, there is a possibility that governments may propose facilitating the installation of new recycling facilities, for which lands may be required albeit publicly owned sites will be the preferred option. </w:t>
            </w:r>
          </w:p>
        </w:tc>
      </w:tr>
      <w:tr w:rsidR="0013654B" w:rsidRPr="00102605" w14:paraId="18E2A501" w14:textId="77777777" w:rsidTr="00E55DCC">
        <w:tc>
          <w:tcPr>
            <w:tcW w:w="1240" w:type="dxa"/>
          </w:tcPr>
          <w:p w14:paraId="3049C209" w14:textId="0740F35A" w:rsidR="0013654B" w:rsidRPr="00102605" w:rsidRDefault="0013654B" w:rsidP="00873187">
            <w:pPr>
              <w:spacing w:before="120" w:after="120"/>
              <w:jc w:val="center"/>
              <w:rPr>
                <w:rFonts w:cs="Arial"/>
                <w:sz w:val="20"/>
                <w:szCs w:val="20"/>
              </w:rPr>
            </w:pPr>
            <w:r w:rsidRPr="00102605">
              <w:rPr>
                <w:rFonts w:cs="Arial"/>
                <w:sz w:val="20"/>
                <w:szCs w:val="20"/>
              </w:rPr>
              <w:t>S08</w:t>
            </w:r>
          </w:p>
        </w:tc>
        <w:tc>
          <w:tcPr>
            <w:tcW w:w="8363" w:type="dxa"/>
          </w:tcPr>
          <w:p w14:paraId="656C77BE" w14:textId="77777777" w:rsidR="0013654B" w:rsidRDefault="0013654B" w:rsidP="002759BB">
            <w:pPr>
              <w:spacing w:before="120" w:after="120"/>
              <w:rPr>
                <w:rFonts w:cs="Arial"/>
                <w:sz w:val="20"/>
                <w:szCs w:val="20"/>
              </w:rPr>
            </w:pPr>
            <w:r>
              <w:rPr>
                <w:rFonts w:cs="Arial"/>
                <w:sz w:val="20"/>
                <w:szCs w:val="20"/>
              </w:rPr>
              <w:t xml:space="preserve">Road safety: </w:t>
            </w:r>
            <w:r w:rsidRPr="002759BB">
              <w:rPr>
                <w:rFonts w:cs="Arial"/>
                <w:sz w:val="20"/>
                <w:szCs w:val="20"/>
              </w:rPr>
              <w:t xml:space="preserve">The transport operator company </w:t>
            </w:r>
            <w:r>
              <w:rPr>
                <w:rFonts w:cs="Arial"/>
                <w:sz w:val="20"/>
                <w:szCs w:val="20"/>
              </w:rPr>
              <w:t xml:space="preserve">must ensure </w:t>
            </w:r>
            <w:r w:rsidRPr="002759BB">
              <w:rPr>
                <w:rFonts w:cs="Arial"/>
                <w:sz w:val="20"/>
                <w:szCs w:val="20"/>
              </w:rPr>
              <w:t>that the electric buses have an acoustic system in place and operating, or any alternative to ensure road safety.</w:t>
            </w:r>
          </w:p>
          <w:p w14:paraId="0D3A9343" w14:textId="77777777" w:rsidR="0013654B" w:rsidRDefault="0013654B" w:rsidP="002759BB">
            <w:pPr>
              <w:spacing w:before="120" w:after="120"/>
              <w:rPr>
                <w:rFonts w:cs="Arial"/>
                <w:sz w:val="20"/>
                <w:szCs w:val="20"/>
              </w:rPr>
            </w:pPr>
            <w:r>
              <w:rPr>
                <w:rFonts w:cs="Arial"/>
                <w:sz w:val="20"/>
                <w:szCs w:val="20"/>
              </w:rPr>
              <w:t xml:space="preserve">User safety: </w:t>
            </w:r>
            <w:r w:rsidRPr="002759BB">
              <w:rPr>
                <w:rFonts w:cs="Arial"/>
                <w:sz w:val="20"/>
                <w:szCs w:val="20"/>
              </w:rPr>
              <w:t xml:space="preserve">Transport operator companies will be responsible </w:t>
            </w:r>
            <w:r>
              <w:rPr>
                <w:rFonts w:cs="Arial"/>
                <w:sz w:val="20"/>
                <w:szCs w:val="20"/>
              </w:rPr>
              <w:t>for ensuring</w:t>
            </w:r>
            <w:r w:rsidRPr="002759BB">
              <w:rPr>
                <w:rFonts w:cs="Arial"/>
                <w:sz w:val="20"/>
                <w:szCs w:val="20"/>
              </w:rPr>
              <w:t xml:space="preserve"> the adaptation of infrastructure (</w:t>
            </w:r>
            <w:proofErr w:type="gramStart"/>
            <w:r w:rsidRPr="002759BB">
              <w:rPr>
                <w:rFonts w:cs="Arial"/>
                <w:sz w:val="20"/>
                <w:szCs w:val="20"/>
              </w:rPr>
              <w:t>in particular the</w:t>
            </w:r>
            <w:proofErr w:type="gramEnd"/>
            <w:r w:rsidRPr="002759BB">
              <w:rPr>
                <w:rFonts w:cs="Arial"/>
                <w:sz w:val="20"/>
                <w:szCs w:val="20"/>
              </w:rPr>
              <w:t xml:space="preserve"> installation of charging stations) with the necessary security measures, as well as the company’s update of the prevention and work health plan.</w:t>
            </w:r>
          </w:p>
          <w:p w14:paraId="1B301FA6" w14:textId="77777777" w:rsidR="0013654B" w:rsidRDefault="0013654B" w:rsidP="002759BB">
            <w:pPr>
              <w:spacing w:before="120" w:after="120"/>
              <w:rPr>
                <w:rFonts w:cs="Arial"/>
                <w:sz w:val="20"/>
                <w:szCs w:val="20"/>
              </w:rPr>
            </w:pPr>
            <w:r>
              <w:rPr>
                <w:rFonts w:cs="Arial"/>
                <w:sz w:val="20"/>
                <w:szCs w:val="20"/>
              </w:rPr>
              <w:t xml:space="preserve">Labour safety: Implementing partners, bus operator companies and subcontractors must ensure the preparation, continues improvement and training, and application of </w:t>
            </w:r>
            <w:r w:rsidRPr="00102605">
              <w:rPr>
                <w:rFonts w:cs="Arial"/>
                <w:sz w:val="20"/>
                <w:szCs w:val="20"/>
              </w:rPr>
              <w:t>occupational health and safety</w:t>
            </w:r>
            <w:r>
              <w:rPr>
                <w:rFonts w:cs="Arial"/>
                <w:sz w:val="20"/>
                <w:szCs w:val="20"/>
              </w:rPr>
              <w:t xml:space="preserve"> plans during the subproject´s construction / implementation as well as the operation phases. Special attention should be taken to ensure adequate environment, </w:t>
            </w:r>
            <w:proofErr w:type="gramStart"/>
            <w:r>
              <w:rPr>
                <w:rFonts w:cs="Arial"/>
                <w:sz w:val="20"/>
                <w:szCs w:val="20"/>
              </w:rPr>
              <w:t>health</w:t>
            </w:r>
            <w:proofErr w:type="gramEnd"/>
            <w:r>
              <w:rPr>
                <w:rFonts w:cs="Arial"/>
                <w:sz w:val="20"/>
                <w:szCs w:val="20"/>
              </w:rPr>
              <w:t xml:space="preserve"> and safety plans to be conducted in the scrapping and recycling facilities.</w:t>
            </w:r>
          </w:p>
          <w:p w14:paraId="27D7B25F" w14:textId="1470B8FC" w:rsidR="0013654B" w:rsidRPr="00102605" w:rsidRDefault="0013654B" w:rsidP="000511CA">
            <w:pPr>
              <w:spacing w:before="120" w:after="120"/>
              <w:rPr>
                <w:rFonts w:cs="Arial"/>
                <w:sz w:val="20"/>
                <w:szCs w:val="20"/>
              </w:rPr>
            </w:pPr>
            <w:r>
              <w:rPr>
                <w:rFonts w:cs="Arial"/>
                <w:sz w:val="20"/>
                <w:szCs w:val="20"/>
              </w:rPr>
              <w:t xml:space="preserve">Job security: Implementing partners must identify the risk of job loss and labour displacement </w:t>
            </w:r>
            <w:proofErr w:type="gramStart"/>
            <w:r>
              <w:rPr>
                <w:rFonts w:cs="Arial"/>
                <w:sz w:val="20"/>
                <w:szCs w:val="20"/>
              </w:rPr>
              <w:t>as a result of</w:t>
            </w:r>
            <w:proofErr w:type="gramEnd"/>
            <w:r>
              <w:rPr>
                <w:rFonts w:cs="Arial"/>
                <w:sz w:val="20"/>
                <w:szCs w:val="20"/>
              </w:rPr>
              <w:t xml:space="preserve"> the introduction of new technology and implement specialized programs to minimize such impacts and </w:t>
            </w:r>
            <w:r w:rsidRPr="00102605">
              <w:rPr>
                <w:rFonts w:cs="Arial"/>
                <w:sz w:val="20"/>
                <w:szCs w:val="20"/>
              </w:rPr>
              <w:t>ensure maximum reabsorption of labour.</w:t>
            </w:r>
            <w:r>
              <w:rPr>
                <w:rFonts w:cs="Arial"/>
                <w:sz w:val="20"/>
                <w:szCs w:val="20"/>
              </w:rPr>
              <w:t xml:space="preserve"> </w:t>
            </w:r>
            <w:r w:rsidRPr="00102605">
              <w:rPr>
                <w:rFonts w:cs="Arial"/>
                <w:sz w:val="20"/>
                <w:szCs w:val="20"/>
              </w:rPr>
              <w:t>These programs will operate under equal opportunity and positive gender discrimination principles.</w:t>
            </w:r>
          </w:p>
        </w:tc>
      </w:tr>
      <w:tr w:rsidR="0013654B" w:rsidRPr="00102605" w14:paraId="0B3ADCA6" w14:textId="77777777" w:rsidTr="00873187">
        <w:trPr>
          <w:trHeight w:val="2619"/>
        </w:trPr>
        <w:tc>
          <w:tcPr>
            <w:tcW w:w="1240" w:type="dxa"/>
          </w:tcPr>
          <w:p w14:paraId="617F0A4F" w14:textId="5EFF5121" w:rsidR="0013654B" w:rsidRPr="00102605" w:rsidRDefault="0013654B" w:rsidP="00873187">
            <w:pPr>
              <w:spacing w:before="120" w:after="120"/>
              <w:jc w:val="center"/>
              <w:rPr>
                <w:rFonts w:cs="Arial"/>
                <w:sz w:val="20"/>
                <w:szCs w:val="20"/>
              </w:rPr>
            </w:pPr>
            <w:r w:rsidRPr="00102605">
              <w:rPr>
                <w:rFonts w:cs="Arial"/>
                <w:sz w:val="20"/>
                <w:szCs w:val="20"/>
              </w:rPr>
              <w:t>S09</w:t>
            </w:r>
          </w:p>
        </w:tc>
        <w:tc>
          <w:tcPr>
            <w:tcW w:w="8363" w:type="dxa"/>
          </w:tcPr>
          <w:p w14:paraId="70C8E61D" w14:textId="7174A73E" w:rsidR="0013654B" w:rsidRDefault="0013654B" w:rsidP="00DD60EB">
            <w:pPr>
              <w:spacing w:before="120" w:after="120"/>
              <w:rPr>
                <w:rFonts w:cs="Arial"/>
                <w:sz w:val="20"/>
                <w:szCs w:val="20"/>
              </w:rPr>
            </w:pPr>
            <w:r>
              <w:rPr>
                <w:rFonts w:cs="Arial"/>
                <w:sz w:val="20"/>
                <w:szCs w:val="20"/>
              </w:rPr>
              <w:t>Implementing partners</w:t>
            </w:r>
            <w:r w:rsidRPr="00102605">
              <w:rPr>
                <w:rFonts w:cs="Arial"/>
                <w:sz w:val="20"/>
                <w:szCs w:val="20"/>
              </w:rPr>
              <w:t xml:space="preserve"> must design subprojects with a gender focus, ensuring to minimize risk of sexual and gender-based violence in affected communities and sub-project workers. Risk of </w:t>
            </w:r>
            <w:r w:rsidR="00F821FB" w:rsidRPr="00F821FB">
              <w:rPr>
                <w:rFonts w:cs="Arial"/>
                <w:sz w:val="20"/>
                <w:szCs w:val="20"/>
              </w:rPr>
              <w:t xml:space="preserve">Sexual exploitation, </w:t>
            </w:r>
            <w:proofErr w:type="gramStart"/>
            <w:r w:rsidR="00F821FB" w:rsidRPr="00F821FB">
              <w:rPr>
                <w:rFonts w:cs="Arial"/>
                <w:sz w:val="20"/>
                <w:szCs w:val="20"/>
              </w:rPr>
              <w:t>abuse</w:t>
            </w:r>
            <w:proofErr w:type="gramEnd"/>
            <w:r w:rsidR="00F821FB" w:rsidRPr="00F821FB">
              <w:rPr>
                <w:rFonts w:cs="Arial"/>
                <w:sz w:val="20"/>
                <w:szCs w:val="20"/>
              </w:rPr>
              <w:t xml:space="preserve"> and sexual harassment (SEAH) and gender-based violence (GBV) </w:t>
            </w:r>
            <w:r w:rsidRPr="00102605">
              <w:rPr>
                <w:rFonts w:cs="Arial"/>
                <w:sz w:val="20"/>
                <w:szCs w:val="20"/>
              </w:rPr>
              <w:t>must be identified at the E&amp;S due diligence and the borrower and EE must develop the corresponding gender action plan to introduce all necessary mitigation measures. The gender action plan may include</w:t>
            </w:r>
            <w:r w:rsidRPr="00102605">
              <w:rPr>
                <w:rStyle w:val="Textodelmarcadordeposicin"/>
                <w:rFonts w:cs="Arial"/>
                <w:sz w:val="20"/>
                <w:szCs w:val="20"/>
              </w:rPr>
              <w:t xml:space="preserve">: </w:t>
            </w:r>
            <w:r w:rsidRPr="00D7144E">
              <w:t>(</w:t>
            </w:r>
            <w:proofErr w:type="spellStart"/>
            <w:r w:rsidRPr="00D7144E">
              <w:t>i</w:t>
            </w:r>
            <w:proofErr w:type="spellEnd"/>
            <w:r w:rsidRPr="00D7144E">
              <w:t xml:space="preserve">) </w:t>
            </w:r>
            <w:r w:rsidRPr="00D7144E">
              <w:rPr>
                <w:rFonts w:cs="Arial"/>
                <w:sz w:val="20"/>
                <w:szCs w:val="20"/>
              </w:rPr>
              <w:t>Code</w:t>
            </w:r>
            <w:r w:rsidRPr="00102605">
              <w:rPr>
                <w:sz w:val="20"/>
                <w:szCs w:val="20"/>
              </w:rPr>
              <w:t xml:space="preserve"> of Conduct establishing a zero-tolerance for SEAH against community members and project workers; (ii) workers training schemes; (iii) reporting measures; (iv) community communication and awareness raising; and (v) developing networks with </w:t>
            </w:r>
            <w:r w:rsidRPr="00102605">
              <w:rPr>
                <w:rFonts w:cs="Arial"/>
                <w:sz w:val="20"/>
                <w:szCs w:val="20"/>
              </w:rPr>
              <w:t>community services and specialized centres.</w:t>
            </w:r>
            <w:r w:rsidR="00687FB4">
              <w:rPr>
                <w:rFonts w:cs="Arial"/>
                <w:sz w:val="20"/>
                <w:szCs w:val="20"/>
              </w:rPr>
              <w:t xml:space="preserve"> </w:t>
            </w:r>
          </w:p>
          <w:p w14:paraId="1514AC93" w14:textId="534D1014" w:rsidR="0013654B" w:rsidRPr="00F23BCB" w:rsidRDefault="0013654B" w:rsidP="000511CA">
            <w:pPr>
              <w:adjustRightInd w:val="0"/>
              <w:rPr>
                <w:rFonts w:cs="Arial"/>
                <w:sz w:val="20"/>
                <w:szCs w:val="20"/>
              </w:rPr>
            </w:pPr>
            <w:r w:rsidRPr="00231A2C">
              <w:rPr>
                <w:rFonts w:cs="Arial"/>
                <w:sz w:val="20"/>
                <w:szCs w:val="20"/>
              </w:rPr>
              <w:t xml:space="preserve">All subprojects’ grievance </w:t>
            </w:r>
            <w:r w:rsidR="009047C8" w:rsidRPr="00231A2C">
              <w:rPr>
                <w:rFonts w:cs="Arial"/>
                <w:sz w:val="20"/>
                <w:szCs w:val="20"/>
              </w:rPr>
              <w:t xml:space="preserve">redress </w:t>
            </w:r>
            <w:r w:rsidRPr="00231A2C">
              <w:rPr>
                <w:rFonts w:cs="Arial"/>
                <w:sz w:val="20"/>
                <w:szCs w:val="20"/>
              </w:rPr>
              <w:t>mechanism</w:t>
            </w:r>
            <w:r w:rsidR="00AE59B1" w:rsidRPr="00231A2C">
              <w:rPr>
                <w:rFonts w:cs="Arial"/>
                <w:sz w:val="20"/>
                <w:szCs w:val="20"/>
              </w:rPr>
              <w:t xml:space="preserve"> (GRM)</w:t>
            </w:r>
            <w:r w:rsidRPr="00231A2C">
              <w:rPr>
                <w:rFonts w:cs="Arial"/>
                <w:sz w:val="20"/>
                <w:szCs w:val="20"/>
              </w:rPr>
              <w:t xml:space="preserve"> must </w:t>
            </w:r>
            <w:r w:rsidR="00231A2C" w:rsidRPr="00231A2C">
              <w:rPr>
                <w:rFonts w:cs="Arial"/>
                <w:sz w:val="20"/>
                <w:szCs w:val="20"/>
              </w:rPr>
              <w:t xml:space="preserve">be </w:t>
            </w:r>
            <w:r w:rsidR="00AE59B1" w:rsidRPr="00231A2C">
              <w:rPr>
                <w:sz w:val="20"/>
                <w:szCs w:val="20"/>
              </w:rPr>
              <w:t>survivor-centred a</w:t>
            </w:r>
            <w:r w:rsidR="00F23BCB">
              <w:rPr>
                <w:sz w:val="20"/>
                <w:szCs w:val="20"/>
              </w:rPr>
              <w:t>n</w:t>
            </w:r>
            <w:r w:rsidR="00AE59B1" w:rsidRPr="00231A2C">
              <w:rPr>
                <w:sz w:val="20"/>
                <w:szCs w:val="20"/>
              </w:rPr>
              <w:t>d gender-responsive</w:t>
            </w:r>
            <w:r w:rsidR="00F23BCB">
              <w:rPr>
                <w:sz w:val="20"/>
                <w:szCs w:val="20"/>
              </w:rPr>
              <w:t xml:space="preserve">, </w:t>
            </w:r>
            <w:r w:rsidR="00F23BCB" w:rsidRPr="00F23BCB">
              <w:rPr>
                <w:rFonts w:cs="Arial"/>
                <w:sz w:val="20"/>
                <w:szCs w:val="20"/>
              </w:rPr>
              <w:t>incorpor</w:t>
            </w:r>
            <w:r w:rsidR="00F23BCB">
              <w:rPr>
                <w:rFonts w:cs="Arial"/>
                <w:sz w:val="20"/>
                <w:szCs w:val="20"/>
              </w:rPr>
              <w:t>ating</w:t>
            </w:r>
            <w:r w:rsidR="00F23BCB" w:rsidRPr="00F23BCB">
              <w:rPr>
                <w:rFonts w:cs="Arial"/>
                <w:sz w:val="20"/>
                <w:szCs w:val="20"/>
              </w:rPr>
              <w:t xml:space="preserve"> </w:t>
            </w:r>
            <w:r w:rsidRPr="00F23BCB">
              <w:rPr>
                <w:rFonts w:cs="Arial"/>
                <w:sz w:val="20"/>
                <w:szCs w:val="20"/>
              </w:rPr>
              <w:t xml:space="preserve">specific procedures to receive, register and manage SEAH </w:t>
            </w:r>
            <w:r w:rsidR="00B76761" w:rsidRPr="00231A2C">
              <w:rPr>
                <w:rFonts w:cs="Arial"/>
                <w:sz w:val="20"/>
                <w:szCs w:val="20"/>
              </w:rPr>
              <w:t>complaints and incidents</w:t>
            </w:r>
            <w:r w:rsidRPr="00F23BCB">
              <w:rPr>
                <w:rFonts w:cs="Arial"/>
                <w:sz w:val="20"/>
                <w:szCs w:val="20"/>
              </w:rPr>
              <w:t>.</w:t>
            </w:r>
          </w:p>
          <w:p w14:paraId="44F22CA4" w14:textId="77777777" w:rsidR="004273A9" w:rsidRDefault="004273A9" w:rsidP="000511CA">
            <w:pPr>
              <w:adjustRightInd w:val="0"/>
              <w:rPr>
                <w:rFonts w:cs="Arial"/>
                <w:sz w:val="20"/>
                <w:szCs w:val="20"/>
              </w:rPr>
            </w:pPr>
          </w:p>
          <w:p w14:paraId="6A34EB7C" w14:textId="6DFEAEF0" w:rsidR="004273A9" w:rsidRPr="00C1521D" w:rsidRDefault="004E430C" w:rsidP="000511CA">
            <w:pPr>
              <w:adjustRightInd w:val="0"/>
              <w:rPr>
                <w:rFonts w:cs="Arial"/>
                <w:sz w:val="20"/>
                <w:szCs w:val="20"/>
              </w:rPr>
            </w:pPr>
            <w:r w:rsidRPr="00C1521D">
              <w:rPr>
                <w:sz w:val="20"/>
                <w:szCs w:val="20"/>
              </w:rPr>
              <w:t xml:space="preserve">The GAP including SEAH and GBV safeguarding will be required </w:t>
            </w:r>
            <w:r w:rsidR="00C1521D" w:rsidRPr="00C1521D">
              <w:rPr>
                <w:sz w:val="20"/>
                <w:szCs w:val="20"/>
              </w:rPr>
              <w:t>to be part</w:t>
            </w:r>
            <w:r w:rsidRPr="00C1521D">
              <w:rPr>
                <w:sz w:val="20"/>
                <w:szCs w:val="20"/>
              </w:rPr>
              <w:t xml:space="preserve"> of the </w:t>
            </w:r>
            <w:r w:rsidR="00C1521D" w:rsidRPr="00C1521D">
              <w:rPr>
                <w:sz w:val="20"/>
                <w:szCs w:val="20"/>
              </w:rPr>
              <w:t>documentation package to be disclosed.</w:t>
            </w:r>
          </w:p>
        </w:tc>
      </w:tr>
    </w:tbl>
    <w:p w14:paraId="00AB3790" w14:textId="5373276B" w:rsidR="00B352B6" w:rsidRDefault="00B352B6" w:rsidP="00406472">
      <w:pPr>
        <w:spacing w:after="0" w:line="240" w:lineRule="auto"/>
        <w:rPr>
          <w:lang w:eastAsia="es-ES_tradnl"/>
        </w:rPr>
      </w:pPr>
    </w:p>
    <w:p w14:paraId="03BC12E2" w14:textId="4E6EA1EA" w:rsidR="00710549" w:rsidRDefault="00710549" w:rsidP="00406472">
      <w:pPr>
        <w:spacing w:after="0" w:line="240" w:lineRule="auto"/>
        <w:rPr>
          <w:lang w:eastAsia="es-ES_tradnl"/>
        </w:rPr>
      </w:pPr>
      <w:r w:rsidRPr="00102605">
        <w:rPr>
          <w:lang w:eastAsia="es-ES_tradnl"/>
        </w:rPr>
        <w:t>All activities financed under Sub-Program 2 will require compliance with the applicable CAF´s E&amp;S Standards part of the Loan Agreement clauses</w:t>
      </w:r>
      <w:r w:rsidR="00D860DA">
        <w:rPr>
          <w:lang w:eastAsia="es-ES_tradnl"/>
        </w:rPr>
        <w:t>.</w:t>
      </w:r>
    </w:p>
    <w:p w14:paraId="1082C4FA" w14:textId="77777777" w:rsidR="00D860DA" w:rsidRDefault="00D860DA" w:rsidP="00406472">
      <w:pPr>
        <w:spacing w:after="0" w:line="240" w:lineRule="auto"/>
        <w:rPr>
          <w:lang w:eastAsia="es-ES_tradnl"/>
        </w:rPr>
      </w:pPr>
    </w:p>
    <w:p w14:paraId="2FA1F09B" w14:textId="3F79E86F" w:rsidR="00D860DA" w:rsidRDefault="00D860DA" w:rsidP="00FD5AB9">
      <w:pPr>
        <w:shd w:val="clear" w:color="auto" w:fill="FFFFFF" w:themeFill="background1"/>
        <w:spacing w:after="0" w:line="240" w:lineRule="auto"/>
        <w:rPr>
          <w:lang w:eastAsia="es-ES_tradnl"/>
        </w:rPr>
      </w:pPr>
      <w:r w:rsidRPr="003907E6">
        <w:rPr>
          <w:lang w:eastAsia="es-ES_tradnl"/>
        </w:rPr>
        <w:t xml:space="preserve">In the event of </w:t>
      </w:r>
      <w:r w:rsidRPr="00DE7A45">
        <w:rPr>
          <w:lang w:eastAsia="es-ES_tradnl"/>
        </w:rPr>
        <w:t xml:space="preserve">a lack </w:t>
      </w:r>
      <w:r w:rsidRPr="003907E6">
        <w:rPr>
          <w:lang w:eastAsia="es-ES_tradnl"/>
        </w:rPr>
        <w:t>of capacity of the partners, an external evaluation team should be brought in to carry out risk and benefit enhancement analyses</w:t>
      </w:r>
      <w:r w:rsidR="0063473E">
        <w:rPr>
          <w:lang w:eastAsia="es-ES_tradnl"/>
        </w:rPr>
        <w:t xml:space="preserve"> as well as help in</w:t>
      </w:r>
      <w:r w:rsidRPr="00CC70E3">
        <w:rPr>
          <w:lang w:eastAsia="es-ES_tradnl"/>
        </w:rPr>
        <w:t xml:space="preserve"> the </w:t>
      </w:r>
      <w:r w:rsidR="0063473E">
        <w:rPr>
          <w:lang w:eastAsia="es-ES_tradnl"/>
        </w:rPr>
        <w:t xml:space="preserve">design of </w:t>
      </w:r>
      <w:r w:rsidRPr="00CC70E3">
        <w:rPr>
          <w:lang w:eastAsia="es-ES_tradnl"/>
        </w:rPr>
        <w:t xml:space="preserve">the </w:t>
      </w:r>
      <w:r w:rsidR="0002014C">
        <w:rPr>
          <w:lang w:eastAsia="es-ES_tradnl"/>
        </w:rPr>
        <w:t>ESIA</w:t>
      </w:r>
      <w:r w:rsidR="001555EA">
        <w:rPr>
          <w:lang w:eastAsia="es-ES_tradnl"/>
        </w:rPr>
        <w:t>, ESMP, GAP an</w:t>
      </w:r>
      <w:r w:rsidR="00485D21">
        <w:rPr>
          <w:lang w:eastAsia="es-ES_tradnl"/>
        </w:rPr>
        <w:t xml:space="preserve">alysis and other </w:t>
      </w:r>
      <w:r w:rsidR="0009567B">
        <w:rPr>
          <w:lang w:eastAsia="es-ES_tradnl"/>
        </w:rPr>
        <w:t>specialized studies.</w:t>
      </w:r>
    </w:p>
    <w:p w14:paraId="03B284F8" w14:textId="77777777" w:rsidR="00710549" w:rsidRDefault="00710549" w:rsidP="00406472">
      <w:pPr>
        <w:spacing w:after="0" w:line="240" w:lineRule="auto"/>
        <w:rPr>
          <w:lang w:eastAsia="es-ES_tradnl"/>
        </w:rPr>
      </w:pPr>
    </w:p>
    <w:p w14:paraId="6CF2B5C5" w14:textId="77777777" w:rsidR="00CA2FE5" w:rsidRDefault="00CA2FE5" w:rsidP="00406472">
      <w:pPr>
        <w:spacing w:after="0" w:line="240" w:lineRule="auto"/>
        <w:rPr>
          <w:lang w:eastAsia="es-ES_tradnl"/>
        </w:rPr>
      </w:pPr>
    </w:p>
    <w:p w14:paraId="0D07B6B3" w14:textId="77777777" w:rsidR="00CA2FE5" w:rsidRDefault="00CA2FE5" w:rsidP="00406472">
      <w:pPr>
        <w:spacing w:after="0" w:line="240" w:lineRule="auto"/>
        <w:rPr>
          <w:lang w:eastAsia="es-ES_tradnl"/>
        </w:rPr>
      </w:pPr>
    </w:p>
    <w:p w14:paraId="60B5BCE2" w14:textId="77777777" w:rsidR="00CA2FE5" w:rsidRDefault="00CA2FE5" w:rsidP="00406472">
      <w:pPr>
        <w:spacing w:after="0" w:line="240" w:lineRule="auto"/>
        <w:rPr>
          <w:lang w:eastAsia="es-ES_tradnl"/>
        </w:rPr>
      </w:pPr>
    </w:p>
    <w:p w14:paraId="0A5E4999" w14:textId="77777777" w:rsidR="00CA2FE5" w:rsidRDefault="00CA2FE5" w:rsidP="00406472">
      <w:pPr>
        <w:spacing w:after="0" w:line="240" w:lineRule="auto"/>
        <w:rPr>
          <w:lang w:eastAsia="es-ES_tradnl"/>
        </w:rPr>
      </w:pPr>
    </w:p>
    <w:p w14:paraId="4D23642E" w14:textId="77777777" w:rsidR="00CA2FE5" w:rsidRDefault="00CA2FE5" w:rsidP="00406472">
      <w:pPr>
        <w:spacing w:after="0" w:line="240" w:lineRule="auto"/>
        <w:rPr>
          <w:lang w:eastAsia="es-ES_tradnl"/>
        </w:rPr>
      </w:pPr>
    </w:p>
    <w:p w14:paraId="0B6AD63D" w14:textId="77777777" w:rsidR="00CA2FE5" w:rsidRDefault="00CA2FE5" w:rsidP="00406472">
      <w:pPr>
        <w:spacing w:after="0" w:line="240" w:lineRule="auto"/>
        <w:rPr>
          <w:lang w:eastAsia="es-ES_tradnl"/>
        </w:rPr>
      </w:pPr>
    </w:p>
    <w:p w14:paraId="2A44CCBE" w14:textId="77777777" w:rsidR="00CA2FE5" w:rsidRDefault="00CA2FE5" w:rsidP="00406472">
      <w:pPr>
        <w:spacing w:after="0" w:line="240" w:lineRule="auto"/>
        <w:rPr>
          <w:lang w:eastAsia="es-ES_tradnl"/>
        </w:rPr>
      </w:pPr>
    </w:p>
    <w:p w14:paraId="0F9B9EEF" w14:textId="77777777" w:rsidR="00CA2FE5" w:rsidRPr="00102605" w:rsidRDefault="00CA2FE5" w:rsidP="00406472">
      <w:pPr>
        <w:spacing w:after="0" w:line="240" w:lineRule="auto"/>
        <w:rPr>
          <w:lang w:eastAsia="es-ES_tradnl"/>
        </w:rPr>
      </w:pPr>
    </w:p>
    <w:p w14:paraId="3D1C6986" w14:textId="3DB05BEC" w:rsidR="007550BA" w:rsidRPr="00102605" w:rsidRDefault="007550BA" w:rsidP="00E45BBC">
      <w:pPr>
        <w:pStyle w:val="Ttulo1"/>
        <w:numPr>
          <w:ilvl w:val="1"/>
          <w:numId w:val="1"/>
        </w:numPr>
        <w:spacing w:before="0" w:after="0" w:line="240" w:lineRule="auto"/>
        <w:ind w:left="567" w:hanging="567"/>
      </w:pPr>
      <w:bookmarkStart w:id="97" w:name="_Toc114152216"/>
      <w:r w:rsidRPr="00102605">
        <w:t>CAF environmental and social due diligence</w:t>
      </w:r>
      <w:bookmarkEnd w:id="97"/>
      <w:r w:rsidRPr="00102605">
        <w:t xml:space="preserve"> </w:t>
      </w:r>
    </w:p>
    <w:p w14:paraId="015E59E6" w14:textId="1F528DF3" w:rsidR="007550BA" w:rsidRPr="00102605" w:rsidRDefault="007550BA" w:rsidP="00406472">
      <w:pPr>
        <w:spacing w:after="0" w:line="240" w:lineRule="auto"/>
        <w:rPr>
          <w:lang w:eastAsia="es-ES_tradnl"/>
        </w:rPr>
      </w:pPr>
    </w:p>
    <w:p w14:paraId="7E0E5BD5" w14:textId="669E6490" w:rsidR="00B918A1" w:rsidRDefault="00B918A1" w:rsidP="00B918A1">
      <w:pPr>
        <w:spacing w:after="0" w:line="240" w:lineRule="auto"/>
      </w:pPr>
      <w:r w:rsidRPr="00102605">
        <w:t>In Sub-Program 2, all e</w:t>
      </w:r>
      <w:r w:rsidRPr="00EF47DA">
        <w:t>ligi</w:t>
      </w:r>
      <w:r w:rsidRPr="00102605">
        <w:t xml:space="preserve">ble subprojects will undergo CAF´s environmental and social due diligence, including the review risks that may affect the environmental and social sustainability of the operation. The focus of the due diligence will be </w:t>
      </w:r>
      <w:r>
        <w:t xml:space="preserve">to </w:t>
      </w:r>
      <w:r w:rsidRPr="00102605">
        <w:t xml:space="preserve">assess and confirm </w:t>
      </w:r>
      <w:r>
        <w:t xml:space="preserve">the </w:t>
      </w:r>
      <w:r w:rsidRPr="00102605">
        <w:t xml:space="preserve">aptitude of the environmental and social management frameworks of </w:t>
      </w:r>
      <w:r>
        <w:t>implementing partners</w:t>
      </w:r>
      <w:r w:rsidRPr="00102605">
        <w:t xml:space="preserve">, that </w:t>
      </w:r>
      <w:r>
        <w:t>in the case of</w:t>
      </w:r>
      <w:r w:rsidRPr="00102605">
        <w:t xml:space="preserve"> </w:t>
      </w:r>
      <w:r>
        <w:t>Local Financial Institutions involves having in place a fully operational</w:t>
      </w:r>
      <w:r w:rsidRPr="00102605">
        <w:t xml:space="preserve"> environmental and social risk assessment systems (ESRAS) or environmental and social management systems (ESMS)</w:t>
      </w:r>
      <w:r>
        <w:t xml:space="preserve"> that comply with CAF´s S01</w:t>
      </w:r>
      <w:r w:rsidRPr="00102605">
        <w:t>.</w:t>
      </w:r>
      <w:r w:rsidR="00C53521">
        <w:t xml:space="preserve"> </w:t>
      </w:r>
      <w:r w:rsidR="00C53521" w:rsidRPr="00102605">
        <w:t>All of CAF´s existing IF clients in the target countries already have a fully operational and mature ESRAS that are consistent with international standards (UNEP-FI Responsible Investment Principles, the Equator Principles or IFC Performance Standards, among others) as well as CAF´s standards.</w:t>
      </w:r>
    </w:p>
    <w:p w14:paraId="198C3D54" w14:textId="77777777" w:rsidR="00B918A1" w:rsidRDefault="00B918A1" w:rsidP="00B918A1">
      <w:pPr>
        <w:spacing w:after="0" w:line="240" w:lineRule="auto"/>
      </w:pPr>
    </w:p>
    <w:p w14:paraId="64775030" w14:textId="332496B6" w:rsidR="00B918A1" w:rsidRDefault="00B918A1" w:rsidP="00B918A1">
      <w:pPr>
        <w:spacing w:after="0" w:line="240" w:lineRule="auto"/>
        <w:rPr>
          <w:rFonts w:cs="Arial"/>
          <w:bCs/>
        </w:rPr>
      </w:pPr>
      <w:r w:rsidRPr="00102605">
        <w:t xml:space="preserve">During the due diligence, CAF will also confirm that the </w:t>
      </w:r>
      <w:r>
        <w:t xml:space="preserve">implementing </w:t>
      </w:r>
      <w:r w:rsidR="00222173">
        <w:t xml:space="preserve">entities </w:t>
      </w:r>
      <w:r w:rsidRPr="00102605">
        <w:t xml:space="preserve"> has, in accordance with CAF´s E&amp;S Standards</w:t>
      </w:r>
      <w:r w:rsidR="00057482">
        <w:t>: (</w:t>
      </w:r>
      <w:proofErr w:type="spellStart"/>
      <w:r w:rsidR="00057482">
        <w:t>i</w:t>
      </w:r>
      <w:proofErr w:type="spellEnd"/>
      <w:r w:rsidR="00057482">
        <w:t>)</w:t>
      </w:r>
      <w:r w:rsidRPr="00102605">
        <w:t xml:space="preserve"> i</w:t>
      </w:r>
      <w:r w:rsidRPr="00102605">
        <w:rPr>
          <w:rFonts w:cs="Arial"/>
          <w:bCs/>
        </w:rPr>
        <w:t xml:space="preserve">dentified key potential </w:t>
      </w:r>
      <w:r w:rsidR="003A7FD7">
        <w:rPr>
          <w:rFonts w:cs="Arial"/>
          <w:bCs/>
        </w:rPr>
        <w:t xml:space="preserve">gender, </w:t>
      </w:r>
      <w:r w:rsidRPr="00102605">
        <w:rPr>
          <w:rFonts w:cs="Arial"/>
          <w:bCs/>
        </w:rPr>
        <w:t xml:space="preserve">social, environmental and climate change related risks and impacts; </w:t>
      </w:r>
      <w:r w:rsidR="00057482">
        <w:rPr>
          <w:rFonts w:cs="Arial"/>
          <w:bCs/>
        </w:rPr>
        <w:t>(</w:t>
      </w:r>
      <w:proofErr w:type="spellStart"/>
      <w:r w:rsidR="00057482">
        <w:rPr>
          <w:rFonts w:cs="Arial"/>
          <w:bCs/>
        </w:rPr>
        <w:t>i</w:t>
      </w:r>
      <w:proofErr w:type="spellEnd"/>
      <w:r w:rsidR="00057482">
        <w:rPr>
          <w:rFonts w:cs="Arial"/>
          <w:bCs/>
        </w:rPr>
        <w:t xml:space="preserve">) </w:t>
      </w:r>
      <w:r w:rsidRPr="00102605">
        <w:rPr>
          <w:rFonts w:cs="Arial"/>
          <w:bCs/>
        </w:rPr>
        <w:t>has formulated the corresponding impact mitigation and management plan to avoid, reduce, restore and or compensate for the adverse impacts, and that such plan is feasible,</w:t>
      </w:r>
      <w:r w:rsidR="00057482">
        <w:rPr>
          <w:rFonts w:cs="Arial"/>
          <w:bCs/>
        </w:rPr>
        <w:t xml:space="preserve"> (iii)</w:t>
      </w:r>
      <w:r w:rsidRPr="00102605">
        <w:rPr>
          <w:rFonts w:cs="Arial"/>
          <w:bCs/>
        </w:rPr>
        <w:t xml:space="preserve"> has the technical and financial capacity to monitor and supervise the correct application of the mitigation plan, </w:t>
      </w:r>
      <w:r w:rsidR="00557A51">
        <w:rPr>
          <w:rFonts w:cs="Arial"/>
          <w:bCs/>
        </w:rPr>
        <w:t xml:space="preserve">(iv) </w:t>
      </w:r>
      <w:r w:rsidRPr="00102605">
        <w:rPr>
          <w:rFonts w:cs="Arial"/>
          <w:bCs/>
        </w:rPr>
        <w:t>has clearly identified the role and risk of third and affected parties and</w:t>
      </w:r>
      <w:r w:rsidR="00557A51">
        <w:rPr>
          <w:rFonts w:cs="Arial"/>
          <w:bCs/>
        </w:rPr>
        <w:t xml:space="preserve"> (v)</w:t>
      </w:r>
      <w:r w:rsidRPr="00102605">
        <w:rPr>
          <w:rFonts w:cs="Arial"/>
          <w:bCs/>
        </w:rPr>
        <w:t xml:space="preserve"> has developed and put in practice adequate communication and consultations processes with affected people and other stakeholders.</w:t>
      </w:r>
    </w:p>
    <w:p w14:paraId="504C1C06" w14:textId="77777777" w:rsidR="00B918A1" w:rsidRPr="00C37BDF" w:rsidRDefault="00B918A1" w:rsidP="00B918A1">
      <w:pPr>
        <w:spacing w:after="0" w:line="240" w:lineRule="auto"/>
      </w:pPr>
    </w:p>
    <w:p w14:paraId="12DC032D" w14:textId="0B7B71DE" w:rsidR="00B918A1" w:rsidRDefault="00B918A1" w:rsidP="00B918A1">
      <w:pPr>
        <w:spacing w:after="0" w:line="240" w:lineRule="auto"/>
        <w:rPr>
          <w:rFonts w:cs="Arial"/>
          <w:bCs/>
        </w:rPr>
      </w:pPr>
      <w:r w:rsidRPr="00102605">
        <w:rPr>
          <w:rFonts w:cs="Arial"/>
          <w:bCs/>
        </w:rPr>
        <w:t xml:space="preserve">The findings of CAF´s E&amp;S due diligence process </w:t>
      </w:r>
      <w:r w:rsidR="00C53521">
        <w:rPr>
          <w:rFonts w:cs="Arial"/>
          <w:bCs/>
        </w:rPr>
        <w:t>will be documented</w:t>
      </w:r>
      <w:r w:rsidRPr="00102605">
        <w:rPr>
          <w:rFonts w:cs="Arial"/>
          <w:bCs/>
        </w:rPr>
        <w:t xml:space="preserve"> in the Environmental and Social Report (ESR), which is annexed to the Credit Assessment Document. The ESR contains the Environmental and Social Action Plan (ESAP), which depicts those additional measures that the Executing Entity or LFI must undertake </w:t>
      </w:r>
      <w:proofErr w:type="gramStart"/>
      <w:r w:rsidRPr="00102605">
        <w:rPr>
          <w:rFonts w:cs="Arial"/>
          <w:bCs/>
        </w:rPr>
        <w:t>in order to</w:t>
      </w:r>
      <w:proofErr w:type="gramEnd"/>
      <w:r w:rsidRPr="00102605">
        <w:rPr>
          <w:rFonts w:cs="Arial"/>
          <w:bCs/>
        </w:rPr>
        <w:t xml:space="preserve"> bridge any gap identified with CAF´s E&amp;S Standards. The ESAP is a mandatory document that is included in the Loan Agreement. </w:t>
      </w:r>
    </w:p>
    <w:p w14:paraId="1D728587" w14:textId="77777777" w:rsidR="00B918A1" w:rsidRPr="00102605" w:rsidRDefault="00B918A1" w:rsidP="00B918A1">
      <w:pPr>
        <w:spacing w:after="0" w:line="240" w:lineRule="auto"/>
        <w:rPr>
          <w:rFonts w:cs="Arial"/>
          <w:bCs/>
        </w:rPr>
      </w:pPr>
    </w:p>
    <w:p w14:paraId="62C61743" w14:textId="130B7A9F" w:rsidR="00B918A1" w:rsidRDefault="00B918A1" w:rsidP="00B918A1">
      <w:pPr>
        <w:spacing w:after="0" w:line="240" w:lineRule="auto"/>
        <w:rPr>
          <w:rFonts w:cs="Arial"/>
          <w:bCs/>
        </w:rPr>
      </w:pPr>
      <w:r w:rsidRPr="00102605">
        <w:rPr>
          <w:rFonts w:cs="Arial"/>
          <w:bCs/>
        </w:rPr>
        <w:t xml:space="preserve">During the execution stage, CAF will monitor the environmental and social performance of sub-projects on an ongoing basis to assess the level of compliance with the ESAP and E&amp;S standards. The supervision work involves on-site missions and reporting requirements to be met by the </w:t>
      </w:r>
      <w:r>
        <w:rPr>
          <w:rFonts w:cs="Arial"/>
          <w:bCs/>
        </w:rPr>
        <w:t>implementing partners</w:t>
      </w:r>
      <w:r w:rsidRPr="00102605">
        <w:rPr>
          <w:rFonts w:cs="Arial"/>
          <w:bCs/>
        </w:rPr>
        <w:t>. The ESR, ESAP and E&amp;S Performance Reports (six-monthly) will be integrated to the materials to be reported to the GCF.</w:t>
      </w:r>
    </w:p>
    <w:p w14:paraId="48627ACC" w14:textId="77777777" w:rsidR="00406472" w:rsidRPr="00102605" w:rsidRDefault="00406472" w:rsidP="00406472">
      <w:pPr>
        <w:spacing w:after="0" w:line="240" w:lineRule="auto"/>
      </w:pPr>
    </w:p>
    <w:p w14:paraId="4DB4FF1E" w14:textId="1A0EE4AB" w:rsidR="00E55DCC" w:rsidRDefault="00B339B3" w:rsidP="00406472">
      <w:pPr>
        <w:spacing w:after="0" w:line="240" w:lineRule="auto"/>
      </w:pPr>
      <w:r>
        <w:t xml:space="preserve">CAF’s </w:t>
      </w:r>
      <w:r w:rsidR="00111B19">
        <w:t>environmental</w:t>
      </w:r>
      <w:r w:rsidR="00E55DCC">
        <w:t xml:space="preserve">, social and gender </w:t>
      </w:r>
      <w:r>
        <w:t xml:space="preserve">appraisal </w:t>
      </w:r>
      <w:r w:rsidR="007A7DF2">
        <w:t>methodology</w:t>
      </w:r>
      <w:r w:rsidR="00B42CC4">
        <w:t xml:space="preserve"> </w:t>
      </w:r>
      <w:r w:rsidR="008077D9">
        <w:t>of subprojects led by Local Financial Institutions</w:t>
      </w:r>
      <w:r w:rsidR="00E55DCC">
        <w:t xml:space="preserve"> (LFI)</w:t>
      </w:r>
      <w:r w:rsidR="008077D9">
        <w:t xml:space="preserve"> </w:t>
      </w:r>
      <w:r w:rsidR="007C5DE0">
        <w:t xml:space="preserve">varies </w:t>
      </w:r>
      <w:r w:rsidR="00E55DCC">
        <w:t>in approach</w:t>
      </w:r>
      <w:r w:rsidR="007C5DE0">
        <w:t xml:space="preserve"> to the methodology </w:t>
      </w:r>
      <w:r w:rsidR="00E55DCC">
        <w:t>applied in those subprojects that are led by</w:t>
      </w:r>
      <w:r w:rsidR="00E961BF">
        <w:t xml:space="preserve"> government or public entit</w:t>
      </w:r>
      <w:r w:rsidR="00E55DCC">
        <w:t>ies.</w:t>
      </w:r>
      <w:r w:rsidR="00E961BF">
        <w:t xml:space="preserve"> </w:t>
      </w:r>
      <w:r w:rsidR="00E55DCC">
        <w:t xml:space="preserve">The approach in the case of subprojects led by government entities is described in table 11, whereas table 12 depicts the </w:t>
      </w:r>
      <w:r w:rsidR="00B8119D">
        <w:t xml:space="preserve">methodological </w:t>
      </w:r>
      <w:r w:rsidR="00E55DCC">
        <w:t xml:space="preserve">approach </w:t>
      </w:r>
      <w:r w:rsidR="00B8119D">
        <w:t xml:space="preserve">in the case </w:t>
      </w:r>
      <w:r w:rsidR="00C040F9">
        <w:t>of LFI.</w:t>
      </w:r>
      <w:r w:rsidR="005D6E52">
        <w:t xml:space="preserve"> </w:t>
      </w:r>
      <w:r w:rsidR="0061478E">
        <w:t xml:space="preserve">Undertaking E&amp;S due diligence is mandatory </w:t>
      </w:r>
      <w:r w:rsidR="00B53CFC">
        <w:t>for all operations financed by CAF, including technical assistance projects.</w:t>
      </w:r>
    </w:p>
    <w:p w14:paraId="68750CDD" w14:textId="77777777" w:rsidR="00E55DCC" w:rsidRDefault="00E55DCC" w:rsidP="00406472">
      <w:pPr>
        <w:spacing w:after="0" w:line="240" w:lineRule="auto"/>
      </w:pPr>
    </w:p>
    <w:p w14:paraId="3B61EB95" w14:textId="5361AF78" w:rsidR="007F1E36" w:rsidRDefault="007F1E36" w:rsidP="00406472">
      <w:pPr>
        <w:spacing w:after="0"/>
      </w:pPr>
      <w:r w:rsidRPr="00DA1875">
        <w:t xml:space="preserve">Table </w:t>
      </w:r>
      <w:r>
        <w:fldChar w:fldCharType="begin"/>
      </w:r>
      <w:r>
        <w:instrText>SEQ Table \* ARABIC</w:instrText>
      </w:r>
      <w:r>
        <w:fldChar w:fldCharType="separate"/>
      </w:r>
      <w:r w:rsidR="00391FF3">
        <w:rPr>
          <w:noProof/>
        </w:rPr>
        <w:t>11</w:t>
      </w:r>
      <w:r>
        <w:fldChar w:fldCharType="end"/>
      </w:r>
      <w:r w:rsidRPr="00DA1875">
        <w:t xml:space="preserve"> Environmental and Social Risk Management Process for </w:t>
      </w:r>
      <w:r w:rsidR="00C040F9">
        <w:t>S</w:t>
      </w:r>
      <w:r w:rsidR="00C040F9" w:rsidRPr="00C040F9">
        <w:t xml:space="preserve">ubprojects led by </w:t>
      </w:r>
      <w:r w:rsidR="00C040F9">
        <w:t>G</w:t>
      </w:r>
      <w:r w:rsidR="00C040F9" w:rsidRPr="00C040F9">
        <w:t xml:space="preserve">overnment </w:t>
      </w:r>
      <w:r w:rsidR="00C040F9">
        <w:t>E</w:t>
      </w:r>
      <w:r w:rsidR="00C040F9" w:rsidRPr="00C040F9">
        <w:t>ntities</w:t>
      </w:r>
    </w:p>
    <w:p w14:paraId="4B47F474" w14:textId="77777777" w:rsidR="00D234DD" w:rsidRDefault="00D234DD" w:rsidP="00406472">
      <w:pPr>
        <w:spacing w:after="0"/>
      </w:pPr>
    </w:p>
    <w:p w14:paraId="2D18D927" w14:textId="77777777" w:rsidR="00CA2FE5" w:rsidRDefault="00CA2FE5" w:rsidP="00406472">
      <w:pPr>
        <w:spacing w:after="0"/>
      </w:pPr>
    </w:p>
    <w:p w14:paraId="2DE046E1" w14:textId="77777777" w:rsidR="00CA2FE5" w:rsidRDefault="00CA2FE5" w:rsidP="00406472">
      <w:pPr>
        <w:spacing w:after="0"/>
      </w:pPr>
    </w:p>
    <w:p w14:paraId="36A66A75" w14:textId="77777777" w:rsidR="00CA2FE5" w:rsidRPr="00DA1875" w:rsidRDefault="00CA2FE5" w:rsidP="00406472">
      <w:pPr>
        <w:spacing w:after="0"/>
      </w:pPr>
    </w:p>
    <w:tbl>
      <w:tblPr>
        <w:tblStyle w:val="TableNormal1"/>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962"/>
        <w:gridCol w:w="2697"/>
      </w:tblGrid>
      <w:tr w:rsidR="007F1E36" w:rsidRPr="00DA1875" w14:paraId="76B931EA" w14:textId="77777777" w:rsidTr="00873187">
        <w:trPr>
          <w:trHeight w:val="268"/>
          <w:tblHeader/>
          <w:jc w:val="center"/>
        </w:trPr>
        <w:tc>
          <w:tcPr>
            <w:tcW w:w="1585" w:type="dxa"/>
            <w:shd w:val="clear" w:color="auto" w:fill="D9E2F3" w:themeFill="accent1" w:themeFillTint="33"/>
            <w:vAlign w:val="center"/>
          </w:tcPr>
          <w:p w14:paraId="36978EFE" w14:textId="77777777" w:rsidR="007F1E36" w:rsidRPr="00977EB3" w:rsidRDefault="007F1E36" w:rsidP="00102605">
            <w:pPr>
              <w:pStyle w:val="TableParagraph"/>
              <w:jc w:val="center"/>
              <w:rPr>
                <w:rFonts w:ascii="Arial" w:hAnsi="Arial" w:cs="Arial"/>
                <w:b/>
                <w:sz w:val="20"/>
                <w:szCs w:val="20"/>
                <w:lang w:val="en-GB"/>
              </w:rPr>
            </w:pPr>
            <w:r w:rsidRPr="000B7DAE">
              <w:rPr>
                <w:rFonts w:ascii="Arial" w:hAnsi="Arial" w:cs="Arial"/>
                <w:b/>
                <w:sz w:val="20"/>
                <w:szCs w:val="20"/>
                <w:lang w:val="en-GB"/>
              </w:rPr>
              <w:t>Project</w:t>
            </w:r>
            <w:r w:rsidRPr="000B7DAE">
              <w:rPr>
                <w:rFonts w:ascii="Arial" w:hAnsi="Arial" w:cs="Arial"/>
                <w:b/>
                <w:spacing w:val="-1"/>
                <w:sz w:val="20"/>
                <w:szCs w:val="20"/>
                <w:lang w:val="en-GB"/>
              </w:rPr>
              <w:t xml:space="preserve"> </w:t>
            </w:r>
            <w:r w:rsidRPr="000B7DAE">
              <w:rPr>
                <w:rFonts w:ascii="Arial" w:hAnsi="Arial" w:cs="Arial"/>
                <w:b/>
                <w:sz w:val="20"/>
                <w:szCs w:val="20"/>
                <w:lang w:val="en-GB"/>
              </w:rPr>
              <w:t>Cycle</w:t>
            </w:r>
            <w:r w:rsidRPr="00977EB3">
              <w:rPr>
                <w:rFonts w:ascii="Arial" w:hAnsi="Arial" w:cs="Arial"/>
                <w:b/>
                <w:spacing w:val="-2"/>
                <w:sz w:val="20"/>
                <w:szCs w:val="20"/>
                <w:lang w:val="en-GB"/>
              </w:rPr>
              <w:t xml:space="preserve"> </w:t>
            </w:r>
            <w:r w:rsidRPr="00977EB3">
              <w:rPr>
                <w:rFonts w:ascii="Arial" w:hAnsi="Arial" w:cs="Arial"/>
                <w:b/>
                <w:sz w:val="20"/>
                <w:szCs w:val="20"/>
                <w:lang w:val="en-GB"/>
              </w:rPr>
              <w:t>Step</w:t>
            </w:r>
          </w:p>
        </w:tc>
        <w:tc>
          <w:tcPr>
            <w:tcW w:w="4962" w:type="dxa"/>
            <w:shd w:val="clear" w:color="auto" w:fill="D9E2F3" w:themeFill="accent1" w:themeFillTint="33"/>
            <w:vAlign w:val="center"/>
          </w:tcPr>
          <w:p w14:paraId="6F557445" w14:textId="77777777" w:rsidR="007F1E36" w:rsidRPr="000B7DAE" w:rsidRDefault="007F1E36" w:rsidP="00102605">
            <w:pPr>
              <w:pStyle w:val="TableParagraph"/>
              <w:jc w:val="center"/>
              <w:rPr>
                <w:rFonts w:ascii="Arial" w:hAnsi="Arial" w:cs="Arial"/>
                <w:b/>
                <w:sz w:val="20"/>
                <w:szCs w:val="20"/>
                <w:lang w:val="en-GB"/>
              </w:rPr>
            </w:pPr>
            <w:r w:rsidRPr="00977EB3">
              <w:rPr>
                <w:rFonts w:ascii="Arial" w:hAnsi="Arial" w:cs="Arial"/>
                <w:b/>
                <w:sz w:val="20"/>
                <w:szCs w:val="20"/>
                <w:lang w:val="en-GB"/>
              </w:rPr>
              <w:t xml:space="preserve">Environment and Social Risk </w:t>
            </w:r>
            <w:r w:rsidRPr="00AE798F">
              <w:rPr>
                <w:rFonts w:ascii="Arial" w:hAnsi="Arial" w:cs="Arial"/>
                <w:b/>
                <w:sz w:val="20"/>
                <w:szCs w:val="20"/>
                <w:lang w:val="en-GB"/>
              </w:rPr>
              <w:t>Management (ESRM) actions</w:t>
            </w:r>
            <w:r w:rsidRPr="000B7DAE">
              <w:rPr>
                <w:rStyle w:val="Refdenotaalpie"/>
                <w:rFonts w:ascii="Arial" w:hAnsi="Arial" w:cs="Arial"/>
                <w:b/>
                <w:sz w:val="20"/>
                <w:szCs w:val="20"/>
                <w:lang w:val="en-GB"/>
              </w:rPr>
              <w:footnoteReference w:id="31"/>
            </w:r>
          </w:p>
        </w:tc>
        <w:tc>
          <w:tcPr>
            <w:tcW w:w="2697" w:type="dxa"/>
            <w:shd w:val="clear" w:color="auto" w:fill="D9E2F3" w:themeFill="accent1" w:themeFillTint="33"/>
            <w:vAlign w:val="center"/>
          </w:tcPr>
          <w:p w14:paraId="3C5A7EA4" w14:textId="77777777" w:rsidR="007F1E36" w:rsidRPr="00AE798F" w:rsidRDefault="007F1E36" w:rsidP="00102605">
            <w:pPr>
              <w:pStyle w:val="TableParagraph"/>
              <w:jc w:val="center"/>
              <w:rPr>
                <w:rFonts w:ascii="Arial" w:hAnsi="Arial" w:cs="Arial"/>
                <w:b/>
                <w:sz w:val="20"/>
                <w:szCs w:val="20"/>
                <w:lang w:val="en-GB"/>
              </w:rPr>
            </w:pPr>
            <w:r w:rsidRPr="00AE798F">
              <w:rPr>
                <w:rFonts w:ascii="Arial" w:hAnsi="Arial" w:cs="Arial"/>
                <w:b/>
                <w:sz w:val="20"/>
                <w:szCs w:val="20"/>
                <w:lang w:val="en-GB"/>
              </w:rPr>
              <w:t>Role and responsibilities</w:t>
            </w:r>
          </w:p>
        </w:tc>
      </w:tr>
      <w:tr w:rsidR="0049423E" w:rsidRPr="00DE7552" w14:paraId="44E8896A" w14:textId="77777777" w:rsidTr="00873187">
        <w:trPr>
          <w:trHeight w:val="270"/>
          <w:jc w:val="center"/>
        </w:trPr>
        <w:tc>
          <w:tcPr>
            <w:tcW w:w="1585" w:type="dxa"/>
            <w:vMerge w:val="restart"/>
            <w:vAlign w:val="center"/>
          </w:tcPr>
          <w:p w14:paraId="39BCE421" w14:textId="20B32F66" w:rsidR="0049423E" w:rsidRPr="00977EB3" w:rsidRDefault="0049423E" w:rsidP="006B6FA4">
            <w:pPr>
              <w:pStyle w:val="TableParagraph"/>
              <w:jc w:val="center"/>
              <w:rPr>
                <w:rFonts w:ascii="Arial" w:hAnsi="Arial" w:cs="Arial"/>
                <w:i/>
                <w:sz w:val="20"/>
                <w:szCs w:val="20"/>
                <w:lang w:val="en-GB"/>
              </w:rPr>
            </w:pPr>
            <w:r w:rsidRPr="000B7DAE">
              <w:rPr>
                <w:rFonts w:ascii="Arial" w:hAnsi="Arial" w:cs="Arial"/>
                <w:i/>
                <w:sz w:val="20"/>
                <w:szCs w:val="20"/>
                <w:lang w:val="en-GB"/>
              </w:rPr>
              <w:t>Origination</w:t>
            </w:r>
          </w:p>
        </w:tc>
        <w:tc>
          <w:tcPr>
            <w:tcW w:w="4962" w:type="dxa"/>
          </w:tcPr>
          <w:p w14:paraId="1E88A539" w14:textId="3F9F0722" w:rsidR="0049423E" w:rsidRPr="000B7DAE" w:rsidRDefault="0049423E" w:rsidP="00D07B6F">
            <w:pPr>
              <w:shd w:val="clear" w:color="auto" w:fill="FFFFFF"/>
              <w:rPr>
                <w:rFonts w:cs="Arial"/>
                <w:sz w:val="20"/>
                <w:szCs w:val="20"/>
                <w:lang w:val="en-GB"/>
              </w:rPr>
            </w:pPr>
            <w:r w:rsidRPr="00977EB3">
              <w:rPr>
                <w:rFonts w:cs="Arial"/>
                <w:sz w:val="20"/>
                <w:szCs w:val="20"/>
                <w:lang w:val="en-GB"/>
              </w:rPr>
              <w:t>Project</w:t>
            </w:r>
            <w:r w:rsidRPr="00977EB3">
              <w:rPr>
                <w:rFonts w:cs="Arial"/>
                <w:spacing w:val="-3"/>
                <w:sz w:val="20"/>
                <w:szCs w:val="20"/>
                <w:lang w:val="en-GB"/>
              </w:rPr>
              <w:t xml:space="preserve"> </w:t>
            </w:r>
            <w:r w:rsidRPr="00AE798F">
              <w:rPr>
                <w:rFonts w:cs="Arial"/>
                <w:sz w:val="20"/>
                <w:szCs w:val="20"/>
                <w:lang w:val="en-GB"/>
              </w:rPr>
              <w:t>screening</w:t>
            </w:r>
            <w:r w:rsidRPr="00AE798F">
              <w:rPr>
                <w:rFonts w:cs="Arial"/>
                <w:spacing w:val="-2"/>
                <w:sz w:val="20"/>
                <w:szCs w:val="20"/>
                <w:lang w:val="en-GB"/>
              </w:rPr>
              <w:t xml:space="preserve"> </w:t>
            </w:r>
            <w:r w:rsidRPr="00C64282">
              <w:rPr>
                <w:rFonts w:cs="Arial"/>
                <w:sz w:val="20"/>
                <w:szCs w:val="20"/>
                <w:lang w:val="en-GB"/>
              </w:rPr>
              <w:t>through</w:t>
            </w:r>
            <w:r w:rsidRPr="00C64282">
              <w:rPr>
                <w:rFonts w:cs="Arial"/>
                <w:spacing w:val="-2"/>
                <w:sz w:val="20"/>
                <w:szCs w:val="20"/>
                <w:lang w:val="en-GB"/>
              </w:rPr>
              <w:t xml:space="preserve"> </w:t>
            </w:r>
            <w:r w:rsidRPr="00C64282">
              <w:rPr>
                <w:rFonts w:cs="Arial"/>
                <w:sz w:val="20"/>
                <w:szCs w:val="20"/>
                <w:lang w:val="en-GB"/>
              </w:rPr>
              <w:t>CAF exclusions</w:t>
            </w:r>
            <w:r w:rsidRPr="00C64282">
              <w:rPr>
                <w:rFonts w:cs="Arial"/>
                <w:spacing w:val="-3"/>
                <w:sz w:val="20"/>
                <w:szCs w:val="20"/>
                <w:lang w:val="en-GB"/>
              </w:rPr>
              <w:t xml:space="preserve"> </w:t>
            </w:r>
            <w:r w:rsidRPr="00C64282">
              <w:rPr>
                <w:rFonts w:cs="Arial"/>
                <w:sz w:val="20"/>
                <w:szCs w:val="20"/>
                <w:lang w:val="en-GB"/>
              </w:rPr>
              <w:t>list (Annex 1)</w:t>
            </w:r>
            <w:r w:rsidRPr="000B7DAE">
              <w:rPr>
                <w:rFonts w:cs="Arial"/>
                <w:sz w:val="20"/>
                <w:szCs w:val="20"/>
                <w:lang w:val="en-GB"/>
              </w:rPr>
              <w:t xml:space="preserve"> and </w:t>
            </w:r>
            <w:r w:rsidRPr="00977EB3">
              <w:rPr>
                <w:rFonts w:cs="Arial"/>
                <w:sz w:val="20"/>
                <w:szCs w:val="20"/>
                <w:lang w:val="en-GB"/>
              </w:rPr>
              <w:t>eligibility criteria</w:t>
            </w:r>
            <w:r w:rsidRPr="000B7DAE">
              <w:rPr>
                <w:rFonts w:cs="Arial"/>
                <w:sz w:val="20"/>
                <w:szCs w:val="20"/>
                <w:lang w:val="en-GB"/>
              </w:rPr>
              <w:t xml:space="preserve"> listed </w:t>
            </w:r>
            <w:r w:rsidRPr="00977EB3">
              <w:rPr>
                <w:rFonts w:cs="Arial"/>
                <w:sz w:val="20"/>
                <w:szCs w:val="20"/>
                <w:lang w:val="en-GB"/>
              </w:rPr>
              <w:t>in section 3.2 above.</w:t>
            </w:r>
            <w:r w:rsidRPr="00873187">
              <w:rPr>
                <w:rFonts w:cs="Arial"/>
                <w:sz w:val="20"/>
                <w:szCs w:val="20"/>
              </w:rPr>
              <w:t xml:space="preserve"> </w:t>
            </w:r>
          </w:p>
        </w:tc>
        <w:tc>
          <w:tcPr>
            <w:tcW w:w="2697" w:type="dxa"/>
            <w:vMerge w:val="restart"/>
          </w:tcPr>
          <w:p w14:paraId="7B37505F" w14:textId="4B7DEF37" w:rsidR="0049423E" w:rsidRPr="00AE798F" w:rsidRDefault="0049423E" w:rsidP="00102605">
            <w:pPr>
              <w:pStyle w:val="TableParagraph"/>
              <w:ind w:left="108"/>
              <w:rPr>
                <w:rFonts w:ascii="Arial" w:hAnsi="Arial" w:cs="Arial"/>
                <w:sz w:val="20"/>
                <w:szCs w:val="20"/>
                <w:lang w:val="es-UY"/>
              </w:rPr>
            </w:pPr>
            <w:r w:rsidRPr="00AE798F">
              <w:rPr>
                <w:rFonts w:ascii="Arial" w:hAnsi="Arial" w:cs="Arial"/>
                <w:sz w:val="20"/>
                <w:szCs w:val="20"/>
                <w:lang w:val="es-UY"/>
              </w:rPr>
              <w:t>Dirección de Acción C</w:t>
            </w:r>
            <w:r w:rsidRPr="00C64282">
              <w:rPr>
                <w:rFonts w:ascii="Arial" w:hAnsi="Arial" w:cs="Arial"/>
                <w:sz w:val="20"/>
                <w:szCs w:val="20"/>
                <w:lang w:val="es-UY"/>
              </w:rPr>
              <w:t xml:space="preserve">limática y Ambiente (DACA)/Coordinación de Evaluación y </w:t>
            </w:r>
            <w:proofErr w:type="spellStart"/>
            <w:r w:rsidRPr="00C64282">
              <w:rPr>
                <w:rFonts w:ascii="Arial" w:hAnsi="Arial" w:cs="Arial"/>
                <w:sz w:val="20"/>
                <w:szCs w:val="20"/>
                <w:lang w:val="es-UY"/>
              </w:rPr>
              <w:t>Seguimeinto</w:t>
            </w:r>
            <w:proofErr w:type="spellEnd"/>
            <w:r w:rsidRPr="00C64282">
              <w:rPr>
                <w:rFonts w:ascii="Arial" w:hAnsi="Arial" w:cs="Arial"/>
                <w:sz w:val="20"/>
                <w:szCs w:val="20"/>
                <w:lang w:val="es-UY"/>
              </w:rPr>
              <w:t xml:space="preserve"> Ambiental y Social (CESAS) </w:t>
            </w:r>
            <w:r w:rsidRPr="000B7DAE">
              <w:rPr>
                <w:rFonts w:ascii="Arial" w:hAnsi="Arial" w:cs="Arial"/>
                <w:sz w:val="20"/>
                <w:szCs w:val="20"/>
                <w:lang w:val="es-UY"/>
              </w:rPr>
              <w:t xml:space="preserve">Executive in </w:t>
            </w:r>
            <w:proofErr w:type="spellStart"/>
            <w:r w:rsidRPr="000B7DAE">
              <w:rPr>
                <w:rFonts w:ascii="Arial" w:hAnsi="Arial" w:cs="Arial"/>
                <w:sz w:val="20"/>
                <w:szCs w:val="20"/>
                <w:lang w:val="es-UY"/>
              </w:rPr>
              <w:t>CAF´s</w:t>
            </w:r>
            <w:proofErr w:type="spellEnd"/>
            <w:r w:rsidRPr="000B7DAE">
              <w:rPr>
                <w:rFonts w:ascii="Arial" w:hAnsi="Arial" w:cs="Arial"/>
                <w:sz w:val="20"/>
                <w:szCs w:val="20"/>
                <w:lang w:val="es-UY"/>
              </w:rPr>
              <w:t xml:space="preserve"> Country Office</w:t>
            </w:r>
          </w:p>
          <w:p w14:paraId="14135675" w14:textId="77777777" w:rsidR="0049423E" w:rsidRPr="00C64282" w:rsidRDefault="0049423E" w:rsidP="00102605">
            <w:pPr>
              <w:pStyle w:val="TableParagraph"/>
              <w:ind w:left="108"/>
              <w:rPr>
                <w:rFonts w:ascii="Arial" w:hAnsi="Arial" w:cs="Arial"/>
                <w:sz w:val="20"/>
                <w:szCs w:val="20"/>
                <w:lang w:val="es-UY"/>
              </w:rPr>
            </w:pPr>
          </w:p>
        </w:tc>
      </w:tr>
      <w:tr w:rsidR="0049423E" w:rsidRPr="00DA1875" w14:paraId="05812FA2" w14:textId="77777777" w:rsidTr="00105BA9">
        <w:trPr>
          <w:trHeight w:val="380"/>
          <w:jc w:val="center"/>
        </w:trPr>
        <w:tc>
          <w:tcPr>
            <w:tcW w:w="1585" w:type="dxa"/>
            <w:vMerge/>
          </w:tcPr>
          <w:p w14:paraId="27EC8937" w14:textId="77777777" w:rsidR="0049423E" w:rsidRPr="00C64282" w:rsidRDefault="0049423E" w:rsidP="00102605">
            <w:pPr>
              <w:rPr>
                <w:rFonts w:cs="Arial"/>
                <w:sz w:val="20"/>
                <w:szCs w:val="20"/>
                <w:lang w:val="es-UY"/>
              </w:rPr>
            </w:pPr>
          </w:p>
        </w:tc>
        <w:tc>
          <w:tcPr>
            <w:tcW w:w="4962" w:type="dxa"/>
          </w:tcPr>
          <w:p w14:paraId="659484CB" w14:textId="65957039" w:rsidR="0049423E" w:rsidRPr="006B6FA4" w:rsidRDefault="0049423E" w:rsidP="00FA429C">
            <w:pPr>
              <w:shd w:val="clear" w:color="auto" w:fill="FFFFFF"/>
              <w:rPr>
                <w:rFonts w:cs="Arial"/>
                <w:sz w:val="20"/>
                <w:szCs w:val="20"/>
              </w:rPr>
            </w:pPr>
            <w:r w:rsidRPr="00C64282">
              <w:rPr>
                <w:rFonts w:cs="Arial"/>
                <w:sz w:val="20"/>
                <w:szCs w:val="20"/>
              </w:rPr>
              <w:t xml:space="preserve">E&amp;S risk and impact screening: </w:t>
            </w:r>
          </w:p>
          <w:p w14:paraId="5983F58B" w14:textId="1A5015CD" w:rsidR="0049423E" w:rsidRPr="00C64282" w:rsidRDefault="0049423E" w:rsidP="00495508">
            <w:pPr>
              <w:pStyle w:val="Prrafodelista"/>
              <w:numPr>
                <w:ilvl w:val="0"/>
                <w:numId w:val="66"/>
              </w:numPr>
              <w:shd w:val="clear" w:color="auto" w:fill="FFFFFF"/>
              <w:rPr>
                <w:rFonts w:cs="Arial"/>
                <w:sz w:val="20"/>
                <w:szCs w:val="20"/>
                <w:lang w:val="en-GB"/>
              </w:rPr>
            </w:pPr>
            <w:r w:rsidRPr="006B6FA4">
              <w:rPr>
                <w:rFonts w:cs="Arial"/>
                <w:sz w:val="20"/>
                <w:szCs w:val="20"/>
              </w:rPr>
              <w:t xml:space="preserve">Undertake preliminary analysis to </w:t>
            </w:r>
            <w:r w:rsidRPr="000B7DAE">
              <w:rPr>
                <w:rFonts w:cs="Arial"/>
                <w:sz w:val="20"/>
                <w:szCs w:val="20"/>
              </w:rPr>
              <w:t>id</w:t>
            </w:r>
            <w:r w:rsidRPr="00977EB3">
              <w:rPr>
                <w:rFonts w:cs="Arial"/>
                <w:sz w:val="20"/>
                <w:szCs w:val="20"/>
              </w:rPr>
              <w:t>entify and evaluate environmental</w:t>
            </w:r>
            <w:r w:rsidRPr="00AE798F">
              <w:rPr>
                <w:rFonts w:cs="Arial"/>
                <w:sz w:val="20"/>
                <w:szCs w:val="20"/>
              </w:rPr>
              <w:t xml:space="preserve">, social, gender and climate </w:t>
            </w:r>
            <w:r w:rsidRPr="00C64282">
              <w:rPr>
                <w:rFonts w:cs="Arial"/>
                <w:sz w:val="20"/>
                <w:szCs w:val="20"/>
              </w:rPr>
              <w:t>risks and impacts of the subproject.</w:t>
            </w:r>
          </w:p>
          <w:p w14:paraId="00F4CD19" w14:textId="6539836B" w:rsidR="0049423E" w:rsidRPr="000B7DAE" w:rsidRDefault="0049423E" w:rsidP="00735810">
            <w:pPr>
              <w:pStyle w:val="Prrafodelista"/>
              <w:numPr>
                <w:ilvl w:val="0"/>
                <w:numId w:val="66"/>
              </w:numPr>
              <w:shd w:val="clear" w:color="auto" w:fill="FFFFFF"/>
              <w:rPr>
                <w:rFonts w:cs="Arial"/>
                <w:sz w:val="20"/>
                <w:szCs w:val="20"/>
                <w:lang w:val="en-GB"/>
              </w:rPr>
            </w:pPr>
            <w:r w:rsidRPr="00C64282">
              <w:rPr>
                <w:rFonts w:cs="Arial"/>
                <w:sz w:val="20"/>
                <w:szCs w:val="20"/>
              </w:rPr>
              <w:t>Assign an environmental l and social</w:t>
            </w:r>
            <w:r w:rsidRPr="00C64282">
              <w:rPr>
                <w:rFonts w:cs="Arial"/>
                <w:spacing w:val="-2"/>
                <w:sz w:val="20"/>
                <w:szCs w:val="20"/>
              </w:rPr>
              <w:t xml:space="preserve"> </w:t>
            </w:r>
            <w:r w:rsidRPr="00C64282">
              <w:rPr>
                <w:rFonts w:cs="Arial"/>
                <w:sz w:val="20"/>
                <w:szCs w:val="20"/>
              </w:rPr>
              <w:t>risk category</w:t>
            </w:r>
            <w:r w:rsidRPr="00C64282">
              <w:rPr>
                <w:rFonts w:cs="Arial"/>
                <w:spacing w:val="-2"/>
                <w:sz w:val="20"/>
                <w:szCs w:val="20"/>
              </w:rPr>
              <w:t xml:space="preserve"> </w:t>
            </w:r>
            <w:proofErr w:type="spellStart"/>
            <w:r w:rsidRPr="00C64282">
              <w:rPr>
                <w:rFonts w:cs="Arial"/>
                <w:sz w:val="20"/>
                <w:szCs w:val="20"/>
              </w:rPr>
              <w:t>Category</w:t>
            </w:r>
            <w:proofErr w:type="spellEnd"/>
            <w:r w:rsidRPr="00C64282">
              <w:rPr>
                <w:rFonts w:cs="Arial"/>
                <w:sz w:val="20"/>
                <w:szCs w:val="20"/>
              </w:rPr>
              <w:t xml:space="preserve"> A subprojects are excluded], based on the type, </w:t>
            </w:r>
            <w:proofErr w:type="gramStart"/>
            <w:r w:rsidRPr="00C64282">
              <w:rPr>
                <w:rFonts w:cs="Arial"/>
                <w:sz w:val="20"/>
                <w:szCs w:val="20"/>
              </w:rPr>
              <w:t>scale</w:t>
            </w:r>
            <w:proofErr w:type="gramEnd"/>
            <w:r w:rsidRPr="00C64282">
              <w:rPr>
                <w:rFonts w:cs="Arial"/>
                <w:sz w:val="20"/>
                <w:szCs w:val="20"/>
              </w:rPr>
              <w:t xml:space="preserve"> and scope of the subproject (positive lists), as well as the location </w:t>
            </w:r>
            <w:r w:rsidRPr="00C64282">
              <w:rPr>
                <w:rFonts w:cs="Arial"/>
                <w:sz w:val="20"/>
                <w:szCs w:val="20"/>
                <w:lang w:val="en-GB"/>
              </w:rPr>
              <w:t>(</w:t>
            </w:r>
            <w:r w:rsidRPr="00C64282">
              <w:rPr>
                <w:rFonts w:cs="Arial"/>
                <w:sz w:val="20"/>
                <w:szCs w:val="20"/>
              </w:rPr>
              <w:t>environmental and social sensitivity) of the project, as shown in Annex 5.</w:t>
            </w:r>
            <w:r w:rsidRPr="000B7DAE">
              <w:rPr>
                <w:rStyle w:val="Refdenotaalpie"/>
                <w:rFonts w:cs="Arial"/>
                <w:sz w:val="20"/>
                <w:szCs w:val="20"/>
                <w:lang w:val="en-GB"/>
              </w:rPr>
              <w:footnoteReference w:id="32"/>
            </w:r>
          </w:p>
          <w:p w14:paraId="3858D76D" w14:textId="3B4266B4" w:rsidR="0049423E" w:rsidRPr="00873187" w:rsidRDefault="0049423E" w:rsidP="000B7DAE">
            <w:pPr>
              <w:pStyle w:val="Prrafodelista"/>
              <w:numPr>
                <w:ilvl w:val="0"/>
                <w:numId w:val="66"/>
              </w:numPr>
              <w:shd w:val="clear" w:color="auto" w:fill="FFFFFF"/>
              <w:rPr>
                <w:rFonts w:cs="Arial"/>
                <w:sz w:val="20"/>
                <w:szCs w:val="20"/>
                <w:lang w:val="en-GB"/>
              </w:rPr>
            </w:pPr>
            <w:r w:rsidRPr="00977EB3">
              <w:rPr>
                <w:rFonts w:cs="Arial"/>
                <w:sz w:val="20"/>
                <w:szCs w:val="20"/>
                <w:lang w:val="en-GB"/>
              </w:rPr>
              <w:t xml:space="preserve">Trigger applicable </w:t>
            </w:r>
            <w:r w:rsidRPr="00C64282">
              <w:rPr>
                <w:rFonts w:cs="Arial"/>
                <w:sz w:val="20"/>
                <w:szCs w:val="20"/>
                <w:lang w:val="en-GB"/>
              </w:rPr>
              <w:t>safeguards.</w:t>
            </w:r>
          </w:p>
        </w:tc>
        <w:tc>
          <w:tcPr>
            <w:tcW w:w="2697" w:type="dxa"/>
            <w:vMerge/>
          </w:tcPr>
          <w:p w14:paraId="434D3F46" w14:textId="77777777" w:rsidR="0049423E" w:rsidRPr="00C64282" w:rsidRDefault="0049423E" w:rsidP="00102605">
            <w:pPr>
              <w:pStyle w:val="TableParagraph"/>
              <w:ind w:left="108"/>
              <w:rPr>
                <w:rFonts w:ascii="Arial" w:hAnsi="Arial" w:cs="Arial"/>
                <w:sz w:val="20"/>
                <w:szCs w:val="20"/>
                <w:lang w:val="en-GB"/>
              </w:rPr>
            </w:pPr>
          </w:p>
        </w:tc>
      </w:tr>
      <w:tr w:rsidR="0049423E" w:rsidRPr="00DA1875" w14:paraId="56267777" w14:textId="77777777" w:rsidTr="00105BA9">
        <w:trPr>
          <w:trHeight w:val="572"/>
          <w:jc w:val="center"/>
        </w:trPr>
        <w:tc>
          <w:tcPr>
            <w:tcW w:w="1585" w:type="dxa"/>
            <w:vMerge/>
          </w:tcPr>
          <w:p w14:paraId="22033BC4" w14:textId="77777777" w:rsidR="0049423E" w:rsidRPr="00C64282" w:rsidRDefault="0049423E" w:rsidP="00102605">
            <w:pPr>
              <w:rPr>
                <w:rFonts w:cs="Arial"/>
                <w:sz w:val="20"/>
                <w:szCs w:val="20"/>
                <w:lang w:val="en-GB"/>
              </w:rPr>
            </w:pPr>
          </w:p>
        </w:tc>
        <w:tc>
          <w:tcPr>
            <w:tcW w:w="4962" w:type="dxa"/>
          </w:tcPr>
          <w:p w14:paraId="74DD670B" w14:textId="77777777" w:rsidR="0049423E" w:rsidRPr="00C64282" w:rsidRDefault="0049423E" w:rsidP="00DA1875">
            <w:pPr>
              <w:pStyle w:val="TableParagraph"/>
              <w:ind w:left="1"/>
              <w:rPr>
                <w:rFonts w:ascii="Arial" w:hAnsi="Arial" w:cs="Arial"/>
                <w:sz w:val="20"/>
                <w:szCs w:val="20"/>
                <w:lang w:val="en-GB"/>
              </w:rPr>
            </w:pPr>
            <w:r w:rsidRPr="00C64282">
              <w:rPr>
                <w:rFonts w:ascii="Arial" w:hAnsi="Arial" w:cs="Arial"/>
                <w:sz w:val="20"/>
                <w:szCs w:val="20"/>
                <w:lang w:val="en-GB"/>
              </w:rPr>
              <w:t xml:space="preserve">Scoping: </w:t>
            </w:r>
          </w:p>
          <w:p w14:paraId="71189B27" w14:textId="660CD087" w:rsidR="0049423E" w:rsidRPr="00C64282" w:rsidRDefault="0049423E" w:rsidP="00EA4FF7">
            <w:pPr>
              <w:pStyle w:val="TableParagraph"/>
              <w:numPr>
                <w:ilvl w:val="0"/>
                <w:numId w:val="67"/>
              </w:numPr>
              <w:rPr>
                <w:rFonts w:ascii="Arial" w:hAnsi="Arial" w:cs="Arial"/>
                <w:sz w:val="20"/>
                <w:szCs w:val="20"/>
                <w:lang w:val="en-GB"/>
              </w:rPr>
            </w:pPr>
            <w:r w:rsidRPr="00C64282">
              <w:rPr>
                <w:rFonts w:ascii="Arial" w:hAnsi="Arial" w:cs="Arial"/>
                <w:sz w:val="20"/>
                <w:szCs w:val="20"/>
                <w:lang w:val="en-GB"/>
              </w:rPr>
              <w:t>High E&amp;S risk subprojects (Cat. A or 1) will not be eligible and will be excluded).</w:t>
            </w:r>
          </w:p>
        </w:tc>
        <w:tc>
          <w:tcPr>
            <w:tcW w:w="2697" w:type="dxa"/>
            <w:vMerge w:val="restart"/>
          </w:tcPr>
          <w:p w14:paraId="580515E9" w14:textId="699DAFD0" w:rsidR="0049423E" w:rsidRPr="00C64282" w:rsidRDefault="0049423E" w:rsidP="00102605">
            <w:pPr>
              <w:pStyle w:val="TableParagraph"/>
              <w:ind w:left="108"/>
              <w:rPr>
                <w:rFonts w:ascii="Arial" w:hAnsi="Arial" w:cs="Arial"/>
                <w:sz w:val="20"/>
                <w:szCs w:val="20"/>
                <w:lang w:val="en-GB"/>
              </w:rPr>
            </w:pPr>
            <w:r w:rsidRPr="00C64282">
              <w:rPr>
                <w:rFonts w:ascii="Arial" w:hAnsi="Arial" w:cs="Arial"/>
                <w:sz w:val="20"/>
                <w:szCs w:val="20"/>
                <w:lang w:val="en-GB"/>
              </w:rPr>
              <w:t xml:space="preserve">Implementing partners (TA support will be provided upon request). </w:t>
            </w:r>
          </w:p>
        </w:tc>
      </w:tr>
      <w:tr w:rsidR="0049423E" w:rsidRPr="00DA1875" w14:paraId="1F093200" w14:textId="77777777" w:rsidTr="00D62666">
        <w:trPr>
          <w:trHeight w:val="2034"/>
          <w:jc w:val="center"/>
        </w:trPr>
        <w:tc>
          <w:tcPr>
            <w:tcW w:w="1585" w:type="dxa"/>
            <w:vMerge/>
          </w:tcPr>
          <w:p w14:paraId="673709FC" w14:textId="77777777" w:rsidR="0049423E" w:rsidRPr="00C64282" w:rsidRDefault="0049423E" w:rsidP="00102605">
            <w:pPr>
              <w:rPr>
                <w:rFonts w:cs="Arial"/>
                <w:sz w:val="20"/>
                <w:szCs w:val="20"/>
              </w:rPr>
            </w:pPr>
          </w:p>
        </w:tc>
        <w:tc>
          <w:tcPr>
            <w:tcW w:w="4962" w:type="dxa"/>
          </w:tcPr>
          <w:p w14:paraId="4586E66F" w14:textId="72658BC1" w:rsidR="0049423E" w:rsidRPr="00C64282" w:rsidRDefault="0049423E" w:rsidP="00310FAB">
            <w:pPr>
              <w:pStyle w:val="TableParagraph"/>
              <w:numPr>
                <w:ilvl w:val="0"/>
                <w:numId w:val="67"/>
              </w:numPr>
              <w:rPr>
                <w:rFonts w:ascii="Arial" w:hAnsi="Arial" w:cs="Arial"/>
                <w:sz w:val="20"/>
                <w:szCs w:val="20"/>
                <w:lang w:val="en-GB"/>
              </w:rPr>
            </w:pPr>
            <w:r w:rsidRPr="00C64282">
              <w:rPr>
                <w:rFonts w:ascii="Arial" w:hAnsi="Arial" w:cs="Arial"/>
                <w:sz w:val="20"/>
                <w:szCs w:val="20"/>
                <w:lang w:val="en-GB"/>
              </w:rPr>
              <w:t>Moderate E&amp;S risk subprojects (Cat. B or 2), implementing partners will be required to conduct: (a) environmental, social, gender and climate impact assessments</w:t>
            </w:r>
            <w:r w:rsidRPr="000B7DAE">
              <w:rPr>
                <w:rFonts w:ascii="Arial" w:hAnsi="Arial" w:cs="Arial"/>
                <w:sz w:val="20"/>
                <w:szCs w:val="20"/>
                <w:lang w:val="en-GB"/>
              </w:rPr>
              <w:t>;</w:t>
            </w:r>
            <w:r w:rsidRPr="00C64282">
              <w:rPr>
                <w:rFonts w:ascii="Arial" w:hAnsi="Arial" w:cs="Arial"/>
                <w:sz w:val="20"/>
                <w:szCs w:val="20"/>
                <w:lang w:val="en-GB"/>
              </w:rPr>
              <w:t xml:space="preserve">(b) prepare a corresponding ESMP, in accordance </w:t>
            </w:r>
            <w:proofErr w:type="gramStart"/>
            <w:r w:rsidRPr="00C64282">
              <w:rPr>
                <w:rFonts w:ascii="Arial" w:hAnsi="Arial" w:cs="Arial"/>
                <w:sz w:val="20"/>
                <w:szCs w:val="20"/>
                <w:lang w:val="en-GB"/>
              </w:rPr>
              <w:t>to</w:t>
            </w:r>
            <w:proofErr w:type="gramEnd"/>
            <w:r w:rsidRPr="00C64282">
              <w:rPr>
                <w:rFonts w:ascii="Arial" w:hAnsi="Arial" w:cs="Arial"/>
                <w:sz w:val="20"/>
                <w:szCs w:val="20"/>
                <w:lang w:val="en-GB"/>
              </w:rPr>
              <w:t xml:space="preserve"> applicable regulatory requirements and CAF’s standards; and (c) communication, consultation or enhanced stakeholder </w:t>
            </w:r>
            <w:r w:rsidRPr="000B7DAE">
              <w:rPr>
                <w:rFonts w:ascii="Arial" w:hAnsi="Arial" w:cs="Arial"/>
                <w:sz w:val="20"/>
                <w:szCs w:val="20"/>
                <w:lang w:val="en-GB"/>
              </w:rPr>
              <w:t>engagement</w:t>
            </w:r>
            <w:r w:rsidRPr="00977EB3">
              <w:rPr>
                <w:rFonts w:ascii="Arial" w:hAnsi="Arial" w:cs="Arial"/>
                <w:sz w:val="20"/>
                <w:szCs w:val="20"/>
                <w:lang w:val="en-GB"/>
              </w:rPr>
              <w:t xml:space="preserve">, </w:t>
            </w:r>
            <w:r w:rsidRPr="00AE798F">
              <w:rPr>
                <w:rFonts w:ascii="Arial" w:hAnsi="Arial" w:cs="Arial"/>
                <w:sz w:val="20"/>
                <w:szCs w:val="20"/>
                <w:lang w:val="en-GB"/>
              </w:rPr>
              <w:t>only in case ethnic groups / indigenous people are identi</w:t>
            </w:r>
            <w:r w:rsidRPr="00C64282">
              <w:rPr>
                <w:rFonts w:ascii="Arial" w:hAnsi="Arial" w:cs="Arial"/>
                <w:sz w:val="20"/>
                <w:szCs w:val="20"/>
                <w:lang w:val="en-GB"/>
              </w:rPr>
              <w:t>fied in the area of influence or there are people to be affected by potential resettlement requirements.</w:t>
            </w:r>
          </w:p>
        </w:tc>
        <w:tc>
          <w:tcPr>
            <w:tcW w:w="2697" w:type="dxa"/>
            <w:vMerge/>
          </w:tcPr>
          <w:p w14:paraId="634311A7" w14:textId="77777777" w:rsidR="0049423E" w:rsidRPr="00C64282" w:rsidDel="00F32377" w:rsidRDefault="0049423E" w:rsidP="00102605">
            <w:pPr>
              <w:pStyle w:val="TableParagraph"/>
              <w:ind w:left="108"/>
              <w:rPr>
                <w:rFonts w:ascii="Arial" w:hAnsi="Arial" w:cs="Arial"/>
                <w:sz w:val="20"/>
                <w:szCs w:val="20"/>
                <w:lang w:val="en-GB"/>
              </w:rPr>
            </w:pPr>
          </w:p>
        </w:tc>
      </w:tr>
      <w:tr w:rsidR="0049423E" w:rsidRPr="00102605" w14:paraId="5661000C" w14:textId="77777777" w:rsidTr="00D62666">
        <w:trPr>
          <w:trHeight w:val="224"/>
          <w:jc w:val="center"/>
        </w:trPr>
        <w:tc>
          <w:tcPr>
            <w:tcW w:w="1585" w:type="dxa"/>
            <w:vMerge/>
          </w:tcPr>
          <w:p w14:paraId="57FDF6F2" w14:textId="77777777" w:rsidR="0049423E" w:rsidRPr="00C64282" w:rsidRDefault="0049423E" w:rsidP="00102605">
            <w:pPr>
              <w:rPr>
                <w:rFonts w:cs="Arial"/>
                <w:sz w:val="20"/>
                <w:szCs w:val="20"/>
                <w:lang w:val="en-GB"/>
              </w:rPr>
            </w:pPr>
          </w:p>
        </w:tc>
        <w:tc>
          <w:tcPr>
            <w:tcW w:w="4962" w:type="dxa"/>
          </w:tcPr>
          <w:p w14:paraId="44F77AA1" w14:textId="4C5EB620" w:rsidR="0049423E" w:rsidRPr="00C64282" w:rsidRDefault="0049423E" w:rsidP="004F6030">
            <w:pPr>
              <w:pStyle w:val="TableParagraph"/>
              <w:numPr>
                <w:ilvl w:val="0"/>
                <w:numId w:val="67"/>
              </w:numPr>
              <w:rPr>
                <w:rFonts w:ascii="Arial" w:hAnsi="Arial" w:cs="Arial"/>
                <w:sz w:val="20"/>
                <w:szCs w:val="20"/>
                <w:lang w:val="en-GB"/>
              </w:rPr>
            </w:pPr>
            <w:r w:rsidRPr="00C64282">
              <w:rPr>
                <w:rFonts w:ascii="Arial" w:hAnsi="Arial" w:cs="Arial"/>
                <w:sz w:val="20"/>
                <w:szCs w:val="20"/>
                <w:lang w:val="en-GB"/>
              </w:rPr>
              <w:t xml:space="preserve">Low E&amp;S risk subprojects (Cat. C or 3), will be required to prepare an ESMP, in accordance </w:t>
            </w:r>
            <w:proofErr w:type="gramStart"/>
            <w:r w:rsidRPr="00C64282">
              <w:rPr>
                <w:rFonts w:ascii="Arial" w:hAnsi="Arial" w:cs="Arial"/>
                <w:sz w:val="20"/>
                <w:szCs w:val="20"/>
                <w:lang w:val="en-GB"/>
              </w:rPr>
              <w:t>to</w:t>
            </w:r>
            <w:proofErr w:type="gramEnd"/>
            <w:r w:rsidRPr="00C64282">
              <w:rPr>
                <w:rFonts w:ascii="Arial" w:hAnsi="Arial" w:cs="Arial"/>
                <w:sz w:val="20"/>
                <w:szCs w:val="20"/>
                <w:lang w:val="en-GB"/>
              </w:rPr>
              <w:t xml:space="preserve"> applicable regulatory requirements and CAF’s standards.</w:t>
            </w:r>
          </w:p>
        </w:tc>
        <w:tc>
          <w:tcPr>
            <w:tcW w:w="2697" w:type="dxa"/>
            <w:vMerge/>
          </w:tcPr>
          <w:p w14:paraId="65284EB9" w14:textId="6A3B936B" w:rsidR="0049423E" w:rsidRPr="00C64282" w:rsidRDefault="0049423E" w:rsidP="00102605">
            <w:pPr>
              <w:pStyle w:val="TableParagraph"/>
              <w:ind w:left="108"/>
              <w:rPr>
                <w:rFonts w:ascii="Arial" w:hAnsi="Arial" w:cs="Arial"/>
                <w:sz w:val="20"/>
                <w:szCs w:val="20"/>
                <w:lang w:val="en-GB"/>
              </w:rPr>
            </w:pPr>
          </w:p>
        </w:tc>
      </w:tr>
      <w:tr w:rsidR="007F1E36" w:rsidRPr="00102605" w14:paraId="773B33FB" w14:textId="77777777" w:rsidTr="006B6FA4">
        <w:trPr>
          <w:trHeight w:val="912"/>
          <w:jc w:val="center"/>
        </w:trPr>
        <w:tc>
          <w:tcPr>
            <w:tcW w:w="1585" w:type="dxa"/>
            <w:vMerge w:val="restart"/>
          </w:tcPr>
          <w:p w14:paraId="480D0D1A" w14:textId="77777777" w:rsidR="007F1E36" w:rsidRPr="000B7DAE" w:rsidRDefault="007F1E36" w:rsidP="00102605">
            <w:pPr>
              <w:pStyle w:val="TableParagraph"/>
              <w:rPr>
                <w:rFonts w:ascii="Arial" w:hAnsi="Arial" w:cs="Arial"/>
                <w:i/>
                <w:sz w:val="20"/>
                <w:szCs w:val="20"/>
                <w:lang w:val="en-GB"/>
              </w:rPr>
            </w:pPr>
            <w:r w:rsidRPr="000B7DAE">
              <w:rPr>
                <w:rFonts w:ascii="Arial" w:hAnsi="Arial" w:cs="Arial"/>
                <w:i/>
                <w:sz w:val="20"/>
                <w:szCs w:val="20"/>
                <w:lang w:val="en-GB"/>
              </w:rPr>
              <w:t xml:space="preserve"> Evaluation</w:t>
            </w:r>
          </w:p>
        </w:tc>
        <w:tc>
          <w:tcPr>
            <w:tcW w:w="4962" w:type="dxa"/>
          </w:tcPr>
          <w:p w14:paraId="37BC8194" w14:textId="2B658ED5" w:rsidR="007F1E36" w:rsidRPr="00C64282" w:rsidRDefault="007F1E36" w:rsidP="00102605">
            <w:pPr>
              <w:pStyle w:val="TableParagraph"/>
              <w:ind w:left="108"/>
              <w:rPr>
                <w:rFonts w:ascii="Arial" w:hAnsi="Arial" w:cs="Arial"/>
                <w:sz w:val="20"/>
                <w:szCs w:val="20"/>
                <w:lang w:val="en-GB"/>
              </w:rPr>
            </w:pPr>
            <w:r w:rsidRPr="00AE798F">
              <w:rPr>
                <w:rFonts w:ascii="Arial" w:hAnsi="Arial" w:cs="Arial"/>
                <w:sz w:val="20"/>
                <w:szCs w:val="20"/>
                <w:lang w:val="en-GB"/>
              </w:rPr>
              <w:t>Conduct ESDD</w:t>
            </w:r>
            <w:r w:rsidRPr="00AE798F">
              <w:rPr>
                <w:rFonts w:ascii="Arial" w:hAnsi="Arial" w:cs="Arial"/>
                <w:spacing w:val="-3"/>
                <w:sz w:val="20"/>
                <w:szCs w:val="20"/>
                <w:lang w:val="en-GB"/>
              </w:rPr>
              <w:t xml:space="preserve"> </w:t>
            </w:r>
            <w:r w:rsidRPr="00C64282">
              <w:rPr>
                <w:rFonts w:ascii="Arial" w:hAnsi="Arial" w:cs="Arial"/>
                <w:sz w:val="20"/>
                <w:szCs w:val="20"/>
                <w:lang w:val="en-GB"/>
              </w:rPr>
              <w:t>during</w:t>
            </w:r>
            <w:r w:rsidRPr="00C64282">
              <w:rPr>
                <w:rFonts w:ascii="Arial" w:hAnsi="Arial" w:cs="Arial"/>
                <w:spacing w:val="-2"/>
                <w:sz w:val="20"/>
                <w:szCs w:val="20"/>
                <w:lang w:val="en-GB"/>
              </w:rPr>
              <w:t xml:space="preserve"> </w:t>
            </w:r>
            <w:r w:rsidRPr="00C64282">
              <w:rPr>
                <w:rFonts w:ascii="Arial" w:hAnsi="Arial" w:cs="Arial"/>
                <w:sz w:val="20"/>
                <w:szCs w:val="20"/>
                <w:lang w:val="en-GB"/>
              </w:rPr>
              <w:t>project</w:t>
            </w:r>
            <w:r w:rsidRPr="00C64282">
              <w:rPr>
                <w:rFonts w:ascii="Arial" w:hAnsi="Arial" w:cs="Arial"/>
                <w:spacing w:val="-3"/>
                <w:sz w:val="20"/>
                <w:szCs w:val="20"/>
                <w:lang w:val="en-GB"/>
              </w:rPr>
              <w:t xml:space="preserve"> </w:t>
            </w:r>
            <w:r w:rsidRPr="00C64282">
              <w:rPr>
                <w:rFonts w:ascii="Arial" w:hAnsi="Arial" w:cs="Arial"/>
                <w:sz w:val="20"/>
                <w:szCs w:val="20"/>
                <w:lang w:val="en-GB"/>
              </w:rPr>
              <w:t>appraisal</w:t>
            </w:r>
            <w:r w:rsidR="002F52DD" w:rsidRPr="00C64282">
              <w:rPr>
                <w:rFonts w:ascii="Arial" w:hAnsi="Arial" w:cs="Arial"/>
                <w:sz w:val="20"/>
                <w:szCs w:val="20"/>
                <w:lang w:val="en-GB"/>
              </w:rPr>
              <w:t>:</w:t>
            </w:r>
          </w:p>
          <w:p w14:paraId="44B2670B" w14:textId="327B11BC" w:rsidR="008C0C54" w:rsidRPr="00C64282" w:rsidRDefault="009A5BBC" w:rsidP="00BA6F5F">
            <w:pPr>
              <w:pStyle w:val="TableParagraph"/>
              <w:numPr>
                <w:ilvl w:val="0"/>
                <w:numId w:val="54"/>
              </w:numPr>
              <w:rPr>
                <w:rFonts w:ascii="Arial" w:hAnsi="Arial" w:cs="Arial"/>
                <w:sz w:val="20"/>
                <w:szCs w:val="20"/>
                <w:lang w:val="en-GB"/>
              </w:rPr>
            </w:pPr>
            <w:r w:rsidRPr="00C64282">
              <w:rPr>
                <w:rFonts w:ascii="Arial" w:hAnsi="Arial" w:cs="Arial"/>
                <w:sz w:val="20"/>
                <w:szCs w:val="20"/>
                <w:lang w:val="en-GB"/>
              </w:rPr>
              <w:t xml:space="preserve">Prospect and review documentation </w:t>
            </w:r>
            <w:r w:rsidR="006F44B4" w:rsidRPr="00C64282">
              <w:rPr>
                <w:rFonts w:ascii="Arial" w:hAnsi="Arial" w:cs="Arial"/>
                <w:sz w:val="20"/>
                <w:szCs w:val="20"/>
                <w:lang w:val="en-GB"/>
              </w:rPr>
              <w:t xml:space="preserve">related to the </w:t>
            </w:r>
            <w:r w:rsidR="002F501E" w:rsidRPr="00C64282">
              <w:rPr>
                <w:rFonts w:ascii="Arial" w:hAnsi="Arial" w:cs="Arial"/>
                <w:sz w:val="20"/>
                <w:szCs w:val="20"/>
                <w:lang w:val="en-GB"/>
              </w:rPr>
              <w:t>sub</w:t>
            </w:r>
            <w:r w:rsidR="006F44B4" w:rsidRPr="00C64282">
              <w:rPr>
                <w:rFonts w:ascii="Arial" w:hAnsi="Arial" w:cs="Arial"/>
                <w:sz w:val="20"/>
                <w:szCs w:val="20"/>
                <w:lang w:val="en-GB"/>
              </w:rPr>
              <w:t xml:space="preserve">projects scope, technical designs, E&amp;S </w:t>
            </w:r>
            <w:r w:rsidR="002F501E" w:rsidRPr="00C64282">
              <w:rPr>
                <w:rFonts w:ascii="Arial" w:hAnsi="Arial" w:cs="Arial"/>
                <w:sz w:val="20"/>
                <w:szCs w:val="20"/>
                <w:lang w:val="en-GB"/>
              </w:rPr>
              <w:t xml:space="preserve">assessments, site characterization, stakeholder </w:t>
            </w:r>
            <w:r w:rsidR="00636545" w:rsidRPr="00C64282">
              <w:rPr>
                <w:rFonts w:ascii="Arial" w:hAnsi="Arial" w:cs="Arial"/>
                <w:sz w:val="20"/>
                <w:szCs w:val="20"/>
                <w:lang w:val="en-GB"/>
              </w:rPr>
              <w:t xml:space="preserve">and interested </w:t>
            </w:r>
            <w:proofErr w:type="gramStart"/>
            <w:r w:rsidR="00636545" w:rsidRPr="00C64282">
              <w:rPr>
                <w:rFonts w:ascii="Arial" w:hAnsi="Arial" w:cs="Arial"/>
                <w:sz w:val="20"/>
                <w:szCs w:val="20"/>
                <w:lang w:val="en-GB"/>
              </w:rPr>
              <w:t>parties</w:t>
            </w:r>
            <w:proofErr w:type="gramEnd"/>
            <w:r w:rsidR="00636545" w:rsidRPr="00C64282">
              <w:rPr>
                <w:rFonts w:ascii="Arial" w:hAnsi="Arial" w:cs="Arial"/>
                <w:sz w:val="20"/>
                <w:szCs w:val="20"/>
                <w:lang w:val="en-GB"/>
              </w:rPr>
              <w:t xml:space="preserve"> inventory</w:t>
            </w:r>
            <w:r w:rsidR="002F501E" w:rsidRPr="00C64282">
              <w:rPr>
                <w:rFonts w:ascii="Arial" w:hAnsi="Arial" w:cs="Arial"/>
                <w:sz w:val="20"/>
                <w:szCs w:val="20"/>
                <w:lang w:val="en-GB"/>
              </w:rPr>
              <w:t>, baseline studies,</w:t>
            </w:r>
            <w:r w:rsidR="00636545" w:rsidRPr="00C64282">
              <w:rPr>
                <w:rFonts w:ascii="Arial" w:hAnsi="Arial" w:cs="Arial"/>
                <w:sz w:val="20"/>
                <w:szCs w:val="20"/>
                <w:lang w:val="en-GB"/>
              </w:rPr>
              <w:t xml:space="preserve"> </w:t>
            </w:r>
            <w:r w:rsidR="00B53176" w:rsidRPr="00C64282">
              <w:rPr>
                <w:rFonts w:ascii="Arial" w:hAnsi="Arial" w:cs="Arial"/>
                <w:sz w:val="20"/>
                <w:szCs w:val="20"/>
                <w:lang w:val="en-GB"/>
              </w:rPr>
              <w:t>among others</w:t>
            </w:r>
            <w:r w:rsidR="002F501E" w:rsidRPr="00C64282">
              <w:rPr>
                <w:rFonts w:ascii="Arial" w:hAnsi="Arial" w:cs="Arial"/>
                <w:sz w:val="20"/>
                <w:szCs w:val="20"/>
                <w:lang w:val="en-GB"/>
              </w:rPr>
              <w:t>,</w:t>
            </w:r>
            <w:r w:rsidR="006F44B4" w:rsidRPr="00C64282">
              <w:rPr>
                <w:rFonts w:ascii="Arial" w:hAnsi="Arial" w:cs="Arial"/>
                <w:sz w:val="20"/>
                <w:szCs w:val="20"/>
                <w:lang w:val="en-GB"/>
              </w:rPr>
              <w:t xml:space="preserve"> </w:t>
            </w:r>
            <w:r w:rsidRPr="00C64282">
              <w:rPr>
                <w:rFonts w:ascii="Arial" w:hAnsi="Arial" w:cs="Arial"/>
                <w:sz w:val="20"/>
                <w:szCs w:val="20"/>
                <w:lang w:val="en-GB"/>
              </w:rPr>
              <w:t xml:space="preserve">provided by the implementing partner and prepare field mission’s scope and agenda. </w:t>
            </w:r>
            <w:r w:rsidR="00BA6F5F" w:rsidRPr="00C64282">
              <w:rPr>
                <w:rFonts w:ascii="Arial" w:hAnsi="Arial" w:cs="Arial"/>
                <w:sz w:val="20"/>
                <w:szCs w:val="20"/>
                <w:lang w:val="en-GB"/>
              </w:rPr>
              <w:t xml:space="preserve">Undertake </w:t>
            </w:r>
            <w:r w:rsidR="008C0C54" w:rsidRPr="00C64282">
              <w:rPr>
                <w:rFonts w:ascii="Arial" w:hAnsi="Arial" w:cs="Arial"/>
                <w:sz w:val="20"/>
                <w:szCs w:val="20"/>
                <w:lang w:val="en-GB"/>
              </w:rPr>
              <w:t xml:space="preserve">field mission, hold technical meetings, undertake regulatory </w:t>
            </w:r>
            <w:r w:rsidR="00C44F79" w:rsidRPr="00C64282">
              <w:rPr>
                <w:rFonts w:ascii="Arial" w:hAnsi="Arial" w:cs="Arial"/>
                <w:sz w:val="20"/>
                <w:szCs w:val="20"/>
                <w:lang w:val="en-GB"/>
              </w:rPr>
              <w:t>related</w:t>
            </w:r>
            <w:r w:rsidR="008C0C54" w:rsidRPr="00C64282">
              <w:rPr>
                <w:rFonts w:ascii="Arial" w:hAnsi="Arial" w:cs="Arial"/>
                <w:sz w:val="20"/>
                <w:szCs w:val="20"/>
                <w:lang w:val="en-GB"/>
              </w:rPr>
              <w:t xml:space="preserve"> </w:t>
            </w:r>
            <w:r w:rsidR="00C44F79" w:rsidRPr="00C64282">
              <w:rPr>
                <w:rFonts w:ascii="Arial" w:hAnsi="Arial" w:cs="Arial"/>
                <w:sz w:val="20"/>
                <w:szCs w:val="20"/>
                <w:lang w:val="en-GB"/>
              </w:rPr>
              <w:t>reviews,</w:t>
            </w:r>
            <w:r w:rsidR="008C0C54" w:rsidRPr="00C64282">
              <w:rPr>
                <w:rFonts w:ascii="Arial" w:hAnsi="Arial" w:cs="Arial"/>
                <w:sz w:val="20"/>
                <w:szCs w:val="20"/>
                <w:lang w:val="en-GB"/>
              </w:rPr>
              <w:t xml:space="preserve"> </w:t>
            </w:r>
            <w:r w:rsidR="007503EB" w:rsidRPr="00C64282">
              <w:rPr>
                <w:rFonts w:ascii="Arial" w:hAnsi="Arial" w:cs="Arial"/>
                <w:sz w:val="20"/>
                <w:szCs w:val="20"/>
                <w:lang w:val="en-GB"/>
              </w:rPr>
              <w:t>and</w:t>
            </w:r>
            <w:r w:rsidR="008C0C54" w:rsidRPr="00C64282">
              <w:rPr>
                <w:rFonts w:ascii="Arial" w:hAnsi="Arial" w:cs="Arial"/>
                <w:sz w:val="20"/>
                <w:szCs w:val="20"/>
                <w:lang w:val="en-GB"/>
              </w:rPr>
              <w:t xml:space="preserve"> meet with relevant stakeholders.</w:t>
            </w:r>
          </w:p>
          <w:p w14:paraId="041B2E68" w14:textId="5266B13D" w:rsidR="00940606" w:rsidRPr="00C64282" w:rsidRDefault="00303F58" w:rsidP="00F47C5F">
            <w:pPr>
              <w:pStyle w:val="Prrafodelista"/>
              <w:numPr>
                <w:ilvl w:val="0"/>
                <w:numId w:val="54"/>
              </w:numPr>
              <w:rPr>
                <w:rFonts w:eastAsia="Calibri" w:cs="Arial"/>
                <w:sz w:val="20"/>
                <w:szCs w:val="20"/>
              </w:rPr>
            </w:pPr>
            <w:r w:rsidRPr="00C64282">
              <w:rPr>
                <w:rFonts w:eastAsia="Calibri" w:cs="Arial"/>
                <w:sz w:val="20"/>
                <w:szCs w:val="20"/>
              </w:rPr>
              <w:t xml:space="preserve">Undertake detailed review of </w:t>
            </w:r>
            <w:r w:rsidR="00A74B83" w:rsidRPr="00C64282">
              <w:rPr>
                <w:rFonts w:eastAsia="Calibri" w:cs="Arial"/>
                <w:sz w:val="20"/>
                <w:szCs w:val="20"/>
              </w:rPr>
              <w:t xml:space="preserve">ESIA and </w:t>
            </w:r>
            <w:r w:rsidRPr="00C64282">
              <w:rPr>
                <w:rFonts w:eastAsia="Calibri" w:cs="Arial"/>
                <w:sz w:val="20"/>
                <w:szCs w:val="20"/>
              </w:rPr>
              <w:t>ESMP</w:t>
            </w:r>
            <w:r w:rsidR="007A23ED" w:rsidRPr="00C64282">
              <w:rPr>
                <w:rFonts w:eastAsia="Calibri" w:cs="Arial"/>
                <w:sz w:val="20"/>
                <w:szCs w:val="20"/>
              </w:rPr>
              <w:t xml:space="preserve"> </w:t>
            </w:r>
            <w:r w:rsidR="007A23ED" w:rsidRPr="000B7DAE">
              <w:rPr>
                <w:rFonts w:eastAsia="Calibri" w:cs="Arial"/>
                <w:sz w:val="20"/>
                <w:szCs w:val="20"/>
              </w:rPr>
              <w:t xml:space="preserve">proposed by the </w:t>
            </w:r>
            <w:r w:rsidR="00940606" w:rsidRPr="00C64282">
              <w:rPr>
                <w:rFonts w:eastAsia="Calibri" w:cs="Arial"/>
                <w:sz w:val="20"/>
                <w:szCs w:val="20"/>
              </w:rPr>
              <w:t xml:space="preserve">implementing partner </w:t>
            </w:r>
            <w:r w:rsidRPr="00C64282">
              <w:rPr>
                <w:rFonts w:eastAsia="Calibri" w:cs="Arial"/>
                <w:sz w:val="20"/>
                <w:szCs w:val="20"/>
              </w:rPr>
              <w:t xml:space="preserve">and </w:t>
            </w:r>
            <w:r w:rsidR="00940606" w:rsidRPr="00C64282">
              <w:rPr>
                <w:rFonts w:eastAsia="Calibri" w:cs="Arial"/>
                <w:sz w:val="20"/>
                <w:szCs w:val="20"/>
              </w:rPr>
              <w:t>analyze</w:t>
            </w:r>
            <w:r w:rsidRPr="00C64282">
              <w:rPr>
                <w:rFonts w:eastAsia="Calibri" w:cs="Arial"/>
                <w:sz w:val="20"/>
                <w:szCs w:val="20"/>
              </w:rPr>
              <w:t xml:space="preserve"> </w:t>
            </w:r>
            <w:r w:rsidR="00940606" w:rsidRPr="00C64282">
              <w:rPr>
                <w:rFonts w:eastAsia="Calibri" w:cs="Arial"/>
                <w:sz w:val="20"/>
                <w:szCs w:val="20"/>
              </w:rPr>
              <w:t xml:space="preserve">alignment </w:t>
            </w:r>
            <w:r w:rsidRPr="00C64282">
              <w:rPr>
                <w:rFonts w:eastAsia="Calibri" w:cs="Arial"/>
                <w:sz w:val="20"/>
                <w:szCs w:val="20"/>
              </w:rPr>
              <w:t xml:space="preserve">with the standards of </w:t>
            </w:r>
            <w:r w:rsidR="00501ABE" w:rsidRPr="00C64282">
              <w:rPr>
                <w:rFonts w:eastAsia="Calibri" w:cs="Arial"/>
                <w:sz w:val="20"/>
                <w:szCs w:val="20"/>
              </w:rPr>
              <w:t>t</w:t>
            </w:r>
            <w:r w:rsidR="007A23ED" w:rsidRPr="00C64282">
              <w:rPr>
                <w:rFonts w:eastAsia="Calibri" w:cs="Arial"/>
                <w:sz w:val="20"/>
                <w:szCs w:val="20"/>
              </w:rPr>
              <w:t xml:space="preserve">he </w:t>
            </w:r>
            <w:r w:rsidRPr="00C64282">
              <w:rPr>
                <w:rFonts w:eastAsia="Calibri" w:cs="Arial"/>
                <w:sz w:val="20"/>
                <w:szCs w:val="20"/>
              </w:rPr>
              <w:t>Environmental and Social Safeguards</w:t>
            </w:r>
            <w:r w:rsidR="00940606" w:rsidRPr="00C64282">
              <w:rPr>
                <w:rFonts w:eastAsia="Calibri" w:cs="Arial"/>
                <w:sz w:val="20"/>
                <w:szCs w:val="20"/>
              </w:rPr>
              <w:t>.</w:t>
            </w:r>
          </w:p>
          <w:p w14:paraId="5730A84A" w14:textId="43CF2445" w:rsidR="00303F58" w:rsidRPr="00C64282" w:rsidRDefault="00940606" w:rsidP="00F47C5F">
            <w:pPr>
              <w:pStyle w:val="Prrafodelista"/>
              <w:numPr>
                <w:ilvl w:val="0"/>
                <w:numId w:val="54"/>
              </w:numPr>
              <w:rPr>
                <w:rFonts w:eastAsia="Calibri" w:cs="Arial"/>
                <w:sz w:val="20"/>
                <w:szCs w:val="20"/>
              </w:rPr>
            </w:pPr>
            <w:r w:rsidRPr="00C64282">
              <w:rPr>
                <w:rFonts w:eastAsia="Calibri" w:cs="Arial"/>
                <w:sz w:val="20"/>
                <w:szCs w:val="20"/>
              </w:rPr>
              <w:t xml:space="preserve">Identify potential gaps with </w:t>
            </w:r>
            <w:r w:rsidR="00F47C5F" w:rsidRPr="00C64282">
              <w:rPr>
                <w:rFonts w:eastAsia="Calibri" w:cs="Arial"/>
                <w:sz w:val="20"/>
                <w:szCs w:val="20"/>
              </w:rPr>
              <w:t>CAF’s Environmental and Social Safeguards</w:t>
            </w:r>
            <w:r w:rsidR="008F7C75" w:rsidRPr="00C64282">
              <w:rPr>
                <w:rFonts w:eastAsia="Calibri" w:cs="Arial"/>
                <w:sz w:val="20"/>
                <w:szCs w:val="20"/>
              </w:rPr>
              <w:t xml:space="preserve"> and determine need for additional studies </w:t>
            </w:r>
            <w:r w:rsidR="005338B6" w:rsidRPr="00C64282">
              <w:rPr>
                <w:rFonts w:eastAsia="Calibri" w:cs="Arial"/>
                <w:sz w:val="20"/>
                <w:szCs w:val="20"/>
              </w:rPr>
              <w:t>and / or</w:t>
            </w:r>
            <w:r w:rsidR="008F7C75" w:rsidRPr="00C64282">
              <w:rPr>
                <w:rFonts w:eastAsia="Calibri" w:cs="Arial"/>
                <w:sz w:val="20"/>
                <w:szCs w:val="20"/>
              </w:rPr>
              <w:t xml:space="preserve"> mitigation measures</w:t>
            </w:r>
            <w:r w:rsidR="00501ABE" w:rsidRPr="00C64282">
              <w:rPr>
                <w:rFonts w:eastAsia="Calibri" w:cs="Arial"/>
                <w:sz w:val="20"/>
                <w:szCs w:val="20"/>
                <w:lang w:val="en-GB"/>
              </w:rPr>
              <w:t>.</w:t>
            </w:r>
          </w:p>
          <w:p w14:paraId="474726BB" w14:textId="3FDE1B2C" w:rsidR="009A5BBC" w:rsidRPr="00C64282" w:rsidRDefault="007A23ED" w:rsidP="00A74B83">
            <w:pPr>
              <w:pStyle w:val="TableParagraph"/>
              <w:numPr>
                <w:ilvl w:val="0"/>
                <w:numId w:val="54"/>
              </w:numPr>
              <w:rPr>
                <w:rFonts w:ascii="Arial" w:hAnsi="Arial" w:cs="Arial"/>
                <w:sz w:val="20"/>
                <w:szCs w:val="20"/>
                <w:lang w:val="en-GB"/>
              </w:rPr>
            </w:pPr>
            <w:r w:rsidRPr="00C64282">
              <w:rPr>
                <w:rFonts w:ascii="Arial" w:hAnsi="Arial" w:cs="Arial"/>
                <w:sz w:val="20"/>
                <w:szCs w:val="20"/>
                <w:lang w:val="en-GB"/>
              </w:rPr>
              <w:t>Verify</w:t>
            </w:r>
            <w:r w:rsidR="007F1E36" w:rsidRPr="00C64282">
              <w:rPr>
                <w:rFonts w:ascii="Arial" w:hAnsi="Arial" w:cs="Arial"/>
                <w:sz w:val="20"/>
                <w:szCs w:val="20"/>
                <w:lang w:val="en-GB"/>
              </w:rPr>
              <w:t xml:space="preserve"> conformity with national regulations.</w:t>
            </w:r>
          </w:p>
          <w:p w14:paraId="3120330D" w14:textId="46C545D8" w:rsidR="007050E8" w:rsidRPr="00C64282" w:rsidRDefault="00A74B83" w:rsidP="00873187">
            <w:pPr>
              <w:pStyle w:val="TableParagraph"/>
              <w:ind w:left="108"/>
              <w:rPr>
                <w:rFonts w:ascii="Arial" w:hAnsi="Arial" w:cs="Arial"/>
                <w:sz w:val="20"/>
                <w:szCs w:val="20"/>
                <w:lang w:val="en-GB"/>
              </w:rPr>
            </w:pPr>
            <w:r w:rsidRPr="00C64282">
              <w:rPr>
                <w:rFonts w:ascii="Arial" w:hAnsi="Arial" w:cs="Arial"/>
                <w:sz w:val="20"/>
                <w:szCs w:val="20"/>
                <w:lang w:val="en-GB"/>
              </w:rPr>
              <w:t>In sub-projects that are categorized as B, CAF may require addition environmental, social, gender or climate change risk studies to ensure adequate coverage of all potential risks and impacts.</w:t>
            </w:r>
          </w:p>
        </w:tc>
        <w:tc>
          <w:tcPr>
            <w:tcW w:w="2697" w:type="dxa"/>
          </w:tcPr>
          <w:p w14:paraId="3B5354FC" w14:textId="6ECFFFB9" w:rsidR="007F1E36" w:rsidRPr="00C64282" w:rsidRDefault="002F52DD" w:rsidP="00102605">
            <w:pPr>
              <w:pStyle w:val="TableParagraph"/>
              <w:ind w:left="108"/>
              <w:rPr>
                <w:rFonts w:ascii="Arial" w:hAnsi="Arial" w:cs="Arial"/>
                <w:sz w:val="20"/>
                <w:szCs w:val="20"/>
                <w:lang w:val="en-GB"/>
              </w:rPr>
            </w:pPr>
            <w:r w:rsidRPr="00C64282">
              <w:rPr>
                <w:rFonts w:ascii="Arial" w:hAnsi="Arial" w:cs="Arial"/>
                <w:sz w:val="20"/>
                <w:szCs w:val="20"/>
                <w:lang w:val="en-GB"/>
              </w:rPr>
              <w:t>DACA</w:t>
            </w:r>
            <w:r w:rsidR="007F1E36" w:rsidRPr="00C64282">
              <w:rPr>
                <w:rFonts w:ascii="Arial" w:hAnsi="Arial" w:cs="Arial"/>
                <w:sz w:val="20"/>
                <w:szCs w:val="20"/>
                <w:lang w:val="en-GB"/>
              </w:rPr>
              <w:t xml:space="preserve">/CESAS Executive in CAF´s Country Office </w:t>
            </w:r>
          </w:p>
          <w:p w14:paraId="06F02A88" w14:textId="77777777" w:rsidR="007F1E36" w:rsidRPr="00C64282" w:rsidRDefault="007F1E36" w:rsidP="00102605">
            <w:pPr>
              <w:pStyle w:val="TableParagraph"/>
              <w:ind w:left="108"/>
              <w:rPr>
                <w:rFonts w:ascii="Arial" w:hAnsi="Arial" w:cs="Arial"/>
                <w:sz w:val="20"/>
                <w:szCs w:val="20"/>
                <w:lang w:val="en-GB"/>
              </w:rPr>
            </w:pPr>
          </w:p>
          <w:p w14:paraId="469C54DC" w14:textId="77777777" w:rsidR="007F1E36" w:rsidRPr="00C64282" w:rsidRDefault="007F1E36" w:rsidP="00102605">
            <w:pPr>
              <w:pStyle w:val="TableParagraph"/>
              <w:ind w:left="108"/>
              <w:rPr>
                <w:rFonts w:ascii="Arial" w:hAnsi="Arial" w:cs="Arial"/>
                <w:sz w:val="20"/>
                <w:szCs w:val="20"/>
                <w:lang w:val="en-GB"/>
              </w:rPr>
            </w:pPr>
          </w:p>
          <w:p w14:paraId="76705143" w14:textId="77777777" w:rsidR="007F1E36" w:rsidRPr="00C64282" w:rsidRDefault="007F1E36" w:rsidP="00102605">
            <w:pPr>
              <w:rPr>
                <w:rFonts w:eastAsia="Calibri" w:cs="Arial"/>
                <w:sz w:val="20"/>
                <w:szCs w:val="20"/>
                <w:lang w:val="en-GB"/>
              </w:rPr>
            </w:pPr>
          </w:p>
          <w:p w14:paraId="4DEA7345" w14:textId="77777777" w:rsidR="007F1E36" w:rsidRPr="00C64282" w:rsidRDefault="007F1E36" w:rsidP="00102605">
            <w:pPr>
              <w:rPr>
                <w:rFonts w:eastAsia="Calibri" w:cs="Arial"/>
                <w:sz w:val="20"/>
                <w:szCs w:val="20"/>
                <w:lang w:val="en-GB"/>
              </w:rPr>
            </w:pPr>
          </w:p>
          <w:p w14:paraId="365508B1" w14:textId="77777777" w:rsidR="007F1E36" w:rsidRPr="006B6FA4" w:rsidRDefault="007F1E36" w:rsidP="00102605">
            <w:pPr>
              <w:rPr>
                <w:rFonts w:cs="Arial"/>
                <w:sz w:val="20"/>
                <w:szCs w:val="20"/>
                <w:lang w:val="en-GB"/>
              </w:rPr>
            </w:pPr>
          </w:p>
        </w:tc>
      </w:tr>
      <w:tr w:rsidR="007F1E36" w:rsidRPr="00102605" w14:paraId="412CCB9B" w14:textId="77777777" w:rsidTr="006B6FA4">
        <w:trPr>
          <w:trHeight w:val="448"/>
          <w:jc w:val="center"/>
        </w:trPr>
        <w:tc>
          <w:tcPr>
            <w:tcW w:w="1585" w:type="dxa"/>
            <w:vMerge/>
            <w:tcBorders>
              <w:top w:val="nil"/>
            </w:tcBorders>
          </w:tcPr>
          <w:p w14:paraId="648830B3" w14:textId="77777777" w:rsidR="007F1E36" w:rsidRPr="00C64282" w:rsidRDefault="007F1E36" w:rsidP="00102605">
            <w:pPr>
              <w:pStyle w:val="TableParagraph"/>
              <w:rPr>
                <w:rFonts w:ascii="Arial" w:hAnsi="Arial" w:cs="Arial"/>
                <w:i/>
                <w:sz w:val="20"/>
                <w:szCs w:val="20"/>
                <w:lang w:val="en-GB"/>
              </w:rPr>
            </w:pPr>
          </w:p>
        </w:tc>
        <w:tc>
          <w:tcPr>
            <w:tcW w:w="4962" w:type="dxa"/>
          </w:tcPr>
          <w:p w14:paraId="57C14195" w14:textId="77777777" w:rsidR="007F1E36" w:rsidRPr="000B7DAE" w:rsidRDefault="007F1E36" w:rsidP="00105BA9">
            <w:pPr>
              <w:pStyle w:val="TableParagraph"/>
              <w:ind w:left="108"/>
              <w:rPr>
                <w:rFonts w:ascii="Arial" w:hAnsi="Arial" w:cs="Arial"/>
                <w:sz w:val="20"/>
                <w:szCs w:val="20"/>
                <w:lang w:val="en-GB"/>
              </w:rPr>
            </w:pPr>
            <w:r w:rsidRPr="00C64282">
              <w:rPr>
                <w:rFonts w:ascii="Arial" w:hAnsi="Arial" w:cs="Arial"/>
                <w:sz w:val="20"/>
                <w:szCs w:val="20"/>
                <w:lang w:val="en-GB"/>
              </w:rPr>
              <w:t>Prepare Environmental and Social Report (ESR)</w:t>
            </w:r>
          </w:p>
        </w:tc>
        <w:tc>
          <w:tcPr>
            <w:tcW w:w="2697" w:type="dxa"/>
            <w:vMerge w:val="restart"/>
          </w:tcPr>
          <w:p w14:paraId="2BFDC2F4" w14:textId="5F3996DF" w:rsidR="007F1E36" w:rsidRPr="00C64282" w:rsidRDefault="002F52DD" w:rsidP="00102605">
            <w:pPr>
              <w:pStyle w:val="TableParagraph"/>
              <w:ind w:left="108"/>
              <w:rPr>
                <w:rFonts w:ascii="Arial" w:hAnsi="Arial" w:cs="Arial"/>
                <w:sz w:val="20"/>
                <w:szCs w:val="20"/>
                <w:lang w:val="en-GB"/>
              </w:rPr>
            </w:pPr>
            <w:r w:rsidRPr="00AE798F">
              <w:rPr>
                <w:rFonts w:ascii="Arial" w:hAnsi="Arial" w:cs="Arial"/>
                <w:sz w:val="20"/>
                <w:szCs w:val="20"/>
                <w:lang w:val="en-GB"/>
              </w:rPr>
              <w:t>DACA</w:t>
            </w:r>
            <w:r w:rsidR="007F1E36" w:rsidRPr="00AE798F">
              <w:rPr>
                <w:rFonts w:ascii="Arial" w:hAnsi="Arial" w:cs="Arial"/>
                <w:sz w:val="20"/>
                <w:szCs w:val="20"/>
                <w:lang w:val="en-GB"/>
              </w:rPr>
              <w:t xml:space="preserve">/CESAS Executive in CAF´s </w:t>
            </w:r>
            <w:r w:rsidR="007F1E36" w:rsidRPr="00C64282">
              <w:rPr>
                <w:rFonts w:ascii="Arial" w:hAnsi="Arial" w:cs="Arial"/>
                <w:sz w:val="20"/>
                <w:szCs w:val="20"/>
                <w:lang w:val="en-GB"/>
              </w:rPr>
              <w:t>Country Office / reviewed by Coordinator</w:t>
            </w:r>
          </w:p>
        </w:tc>
      </w:tr>
      <w:tr w:rsidR="007F1E36" w:rsidRPr="00102605" w14:paraId="2233E57C" w14:textId="77777777" w:rsidTr="00105BA9">
        <w:trPr>
          <w:trHeight w:val="380"/>
          <w:jc w:val="center"/>
        </w:trPr>
        <w:tc>
          <w:tcPr>
            <w:tcW w:w="1585" w:type="dxa"/>
            <w:vMerge/>
            <w:tcBorders>
              <w:top w:val="nil"/>
            </w:tcBorders>
          </w:tcPr>
          <w:p w14:paraId="6E8BBF4A" w14:textId="77777777" w:rsidR="007F1E36" w:rsidRPr="00C64282" w:rsidRDefault="007F1E36" w:rsidP="00102605">
            <w:pPr>
              <w:pStyle w:val="TableParagraph"/>
              <w:rPr>
                <w:rFonts w:ascii="Arial" w:hAnsi="Arial" w:cs="Arial"/>
                <w:i/>
                <w:sz w:val="20"/>
                <w:szCs w:val="20"/>
                <w:lang w:val="en-GB"/>
              </w:rPr>
            </w:pPr>
          </w:p>
        </w:tc>
        <w:tc>
          <w:tcPr>
            <w:tcW w:w="4962" w:type="dxa"/>
          </w:tcPr>
          <w:p w14:paraId="02366CC1" w14:textId="3F5DE4A5" w:rsidR="007F1E36" w:rsidRPr="00C64282" w:rsidRDefault="007A23ED" w:rsidP="00102605">
            <w:pPr>
              <w:pStyle w:val="TableParagraph"/>
              <w:ind w:left="108"/>
              <w:rPr>
                <w:rFonts w:ascii="Arial" w:hAnsi="Arial" w:cs="Arial"/>
                <w:sz w:val="20"/>
                <w:szCs w:val="20"/>
                <w:lang w:val="en-GB"/>
              </w:rPr>
            </w:pPr>
            <w:r w:rsidRPr="00C64282">
              <w:rPr>
                <w:rFonts w:ascii="Arial" w:hAnsi="Arial" w:cs="Arial"/>
                <w:sz w:val="20"/>
                <w:szCs w:val="20"/>
                <w:lang w:val="en-GB"/>
              </w:rPr>
              <w:t xml:space="preserve">Prepare the Environmental and </w:t>
            </w:r>
            <w:r w:rsidR="00C44F79" w:rsidRPr="00C64282">
              <w:rPr>
                <w:rFonts w:ascii="Arial" w:hAnsi="Arial" w:cs="Arial"/>
                <w:sz w:val="20"/>
                <w:szCs w:val="20"/>
                <w:lang w:val="en-GB"/>
              </w:rPr>
              <w:t>Social</w:t>
            </w:r>
            <w:r w:rsidRPr="00C64282">
              <w:rPr>
                <w:rFonts w:ascii="Arial" w:hAnsi="Arial" w:cs="Arial"/>
                <w:sz w:val="20"/>
                <w:szCs w:val="20"/>
                <w:lang w:val="en-GB"/>
              </w:rPr>
              <w:t xml:space="preserve"> Action Plan</w:t>
            </w:r>
            <w:r w:rsidRPr="000B7DAE">
              <w:rPr>
                <w:rFonts w:ascii="Arial" w:hAnsi="Arial" w:cs="Arial"/>
                <w:sz w:val="20"/>
                <w:szCs w:val="20"/>
                <w:lang w:val="en-GB"/>
              </w:rPr>
              <w:t>, establishing those additional E</w:t>
            </w:r>
            <w:r w:rsidRPr="00AE798F">
              <w:rPr>
                <w:rFonts w:ascii="Arial" w:hAnsi="Arial" w:cs="Arial"/>
                <w:sz w:val="20"/>
                <w:szCs w:val="20"/>
                <w:lang w:val="en-GB"/>
              </w:rPr>
              <w:t xml:space="preserve">&amp;S mitigation and </w:t>
            </w:r>
            <w:r w:rsidR="00C44F79" w:rsidRPr="00C64282">
              <w:rPr>
                <w:rFonts w:ascii="Arial" w:hAnsi="Arial" w:cs="Arial"/>
                <w:sz w:val="20"/>
                <w:szCs w:val="20"/>
                <w:lang w:val="en-GB"/>
              </w:rPr>
              <w:t>management</w:t>
            </w:r>
            <w:r w:rsidRPr="00C64282">
              <w:rPr>
                <w:rFonts w:ascii="Arial" w:hAnsi="Arial" w:cs="Arial"/>
                <w:sz w:val="20"/>
                <w:szCs w:val="20"/>
                <w:lang w:val="en-GB"/>
              </w:rPr>
              <w:t xml:space="preserve"> measures to ensure compliance with CAF´s Safeguards as well as GCF E&amp;S Policies and Performance Standards</w:t>
            </w:r>
          </w:p>
        </w:tc>
        <w:tc>
          <w:tcPr>
            <w:tcW w:w="2697" w:type="dxa"/>
            <w:vMerge/>
          </w:tcPr>
          <w:p w14:paraId="7CF6C6C1" w14:textId="77777777" w:rsidR="007F1E36" w:rsidRPr="00C64282" w:rsidRDefault="007F1E36" w:rsidP="00102605">
            <w:pPr>
              <w:pStyle w:val="TableParagraph"/>
              <w:ind w:left="108"/>
              <w:rPr>
                <w:rFonts w:ascii="Arial" w:hAnsi="Arial" w:cs="Arial"/>
                <w:sz w:val="20"/>
                <w:szCs w:val="20"/>
                <w:lang w:val="en-GB"/>
              </w:rPr>
            </w:pPr>
          </w:p>
        </w:tc>
      </w:tr>
      <w:tr w:rsidR="007F1E36" w:rsidRPr="00102605" w14:paraId="478DFA42" w14:textId="77777777" w:rsidTr="006B6FA4">
        <w:trPr>
          <w:trHeight w:val="268"/>
          <w:jc w:val="center"/>
        </w:trPr>
        <w:tc>
          <w:tcPr>
            <w:tcW w:w="1585" w:type="dxa"/>
          </w:tcPr>
          <w:p w14:paraId="3BF78AE8" w14:textId="77777777" w:rsidR="007F1E36" w:rsidRPr="00AE798F" w:rsidRDefault="007F1E36" w:rsidP="00102605">
            <w:pPr>
              <w:pStyle w:val="TableParagraph"/>
              <w:rPr>
                <w:rFonts w:ascii="Arial" w:hAnsi="Arial" w:cs="Arial"/>
                <w:i/>
                <w:sz w:val="20"/>
                <w:szCs w:val="20"/>
                <w:lang w:val="en-GB"/>
              </w:rPr>
            </w:pPr>
            <w:r w:rsidRPr="000B7DAE">
              <w:rPr>
                <w:rFonts w:ascii="Arial" w:hAnsi="Arial" w:cs="Arial"/>
                <w:i/>
                <w:sz w:val="20"/>
                <w:szCs w:val="20"/>
                <w:lang w:val="en-GB"/>
              </w:rPr>
              <w:t xml:space="preserve"> Formalization</w:t>
            </w:r>
          </w:p>
        </w:tc>
        <w:tc>
          <w:tcPr>
            <w:tcW w:w="4962" w:type="dxa"/>
          </w:tcPr>
          <w:p w14:paraId="7F415763" w14:textId="77777777" w:rsidR="00996E0E" w:rsidRPr="00C64282" w:rsidRDefault="007A23ED" w:rsidP="00102605">
            <w:pPr>
              <w:pStyle w:val="TableParagraph"/>
              <w:ind w:left="108"/>
              <w:rPr>
                <w:rFonts w:ascii="Arial" w:hAnsi="Arial" w:cs="Arial"/>
                <w:sz w:val="20"/>
                <w:szCs w:val="20"/>
                <w:lang w:val="en-GB"/>
              </w:rPr>
            </w:pPr>
            <w:r w:rsidRPr="00C64282">
              <w:rPr>
                <w:rFonts w:ascii="Arial" w:hAnsi="Arial" w:cs="Arial"/>
                <w:sz w:val="20"/>
                <w:szCs w:val="20"/>
                <w:lang w:val="en-GB"/>
              </w:rPr>
              <w:t>Negotiate and agree with the borrower the ESAP</w:t>
            </w:r>
            <w:r w:rsidR="00996E0E" w:rsidRPr="00C64282">
              <w:rPr>
                <w:rFonts w:ascii="Arial" w:hAnsi="Arial" w:cs="Arial"/>
                <w:sz w:val="20"/>
                <w:szCs w:val="20"/>
                <w:lang w:val="en-GB"/>
              </w:rPr>
              <w:t>.</w:t>
            </w:r>
          </w:p>
          <w:p w14:paraId="2298BD5A" w14:textId="6A7381A6" w:rsidR="007F1E36" w:rsidRPr="00C64282" w:rsidRDefault="00996E0E" w:rsidP="00102605">
            <w:pPr>
              <w:pStyle w:val="TableParagraph"/>
              <w:ind w:left="108"/>
              <w:rPr>
                <w:rFonts w:ascii="Arial" w:hAnsi="Arial" w:cs="Arial"/>
                <w:sz w:val="20"/>
                <w:szCs w:val="20"/>
                <w:lang w:val="en-GB"/>
              </w:rPr>
            </w:pPr>
            <w:r w:rsidRPr="00C64282">
              <w:rPr>
                <w:rFonts w:ascii="Arial" w:hAnsi="Arial" w:cs="Arial"/>
                <w:sz w:val="20"/>
                <w:szCs w:val="20"/>
                <w:lang w:val="en-GB"/>
              </w:rPr>
              <w:t>Formalize the ESAP</w:t>
            </w:r>
            <w:r w:rsidR="00D43620" w:rsidRPr="00C64282">
              <w:rPr>
                <w:rFonts w:ascii="Arial" w:hAnsi="Arial" w:cs="Arial"/>
                <w:sz w:val="20"/>
                <w:szCs w:val="20"/>
                <w:lang w:val="en-GB"/>
              </w:rPr>
              <w:t xml:space="preserve"> </w:t>
            </w:r>
            <w:r w:rsidRPr="00C64282">
              <w:rPr>
                <w:rFonts w:ascii="Arial" w:hAnsi="Arial" w:cs="Arial"/>
                <w:sz w:val="20"/>
                <w:szCs w:val="20"/>
                <w:lang w:val="en-GB"/>
              </w:rPr>
              <w:t>in</w:t>
            </w:r>
            <w:r w:rsidR="007F1E36" w:rsidRPr="00C64282">
              <w:rPr>
                <w:rFonts w:ascii="Arial" w:hAnsi="Arial" w:cs="Arial"/>
                <w:spacing w:val="-3"/>
                <w:sz w:val="20"/>
                <w:szCs w:val="20"/>
                <w:lang w:val="en-GB"/>
              </w:rPr>
              <w:t xml:space="preserve"> </w:t>
            </w:r>
            <w:r w:rsidR="007F1E36" w:rsidRPr="00C64282">
              <w:rPr>
                <w:rFonts w:ascii="Arial" w:hAnsi="Arial" w:cs="Arial"/>
                <w:sz w:val="20"/>
                <w:szCs w:val="20"/>
                <w:lang w:val="en-GB"/>
              </w:rPr>
              <w:t>the</w:t>
            </w:r>
            <w:r w:rsidR="007F1E36" w:rsidRPr="00C64282">
              <w:rPr>
                <w:rFonts w:ascii="Arial" w:hAnsi="Arial" w:cs="Arial"/>
                <w:spacing w:val="-2"/>
                <w:sz w:val="20"/>
                <w:szCs w:val="20"/>
                <w:lang w:val="en-GB"/>
              </w:rPr>
              <w:t xml:space="preserve"> </w:t>
            </w:r>
            <w:r w:rsidR="007F1E36" w:rsidRPr="00C64282">
              <w:rPr>
                <w:rFonts w:ascii="Arial" w:hAnsi="Arial" w:cs="Arial"/>
                <w:sz w:val="20"/>
                <w:szCs w:val="20"/>
                <w:lang w:val="en-GB"/>
              </w:rPr>
              <w:t>Credit Agreement</w:t>
            </w:r>
            <w:r w:rsidRPr="00C64282">
              <w:rPr>
                <w:rFonts w:ascii="Arial" w:hAnsi="Arial" w:cs="Arial"/>
                <w:sz w:val="20"/>
                <w:szCs w:val="20"/>
                <w:lang w:val="en-GB"/>
              </w:rPr>
              <w:t>.</w:t>
            </w:r>
            <w:r w:rsidR="00CF1DDD" w:rsidRPr="00C64282">
              <w:rPr>
                <w:rFonts w:ascii="Arial" w:hAnsi="Arial" w:cs="Arial"/>
                <w:sz w:val="20"/>
                <w:szCs w:val="20"/>
                <w:lang w:val="en-GB"/>
              </w:rPr>
              <w:t xml:space="preserve"> The conditions established in the Credit Agreement will include the obligation to present reports on the environmental and social performance of the operations</w:t>
            </w:r>
            <w:r w:rsidR="009D1A70">
              <w:rPr>
                <w:rFonts w:ascii="Arial" w:hAnsi="Arial" w:cs="Arial"/>
                <w:sz w:val="20"/>
                <w:szCs w:val="20"/>
                <w:lang w:val="en-GB"/>
              </w:rPr>
              <w:t>.</w:t>
            </w:r>
          </w:p>
        </w:tc>
        <w:tc>
          <w:tcPr>
            <w:tcW w:w="2697" w:type="dxa"/>
          </w:tcPr>
          <w:p w14:paraId="58A4DBB8" w14:textId="1222F341" w:rsidR="007F1E36" w:rsidRPr="00C64282" w:rsidRDefault="002F52DD" w:rsidP="00102605">
            <w:pPr>
              <w:pStyle w:val="TableParagraph"/>
              <w:ind w:left="108"/>
              <w:rPr>
                <w:rFonts w:ascii="Arial" w:hAnsi="Arial" w:cs="Arial"/>
                <w:sz w:val="20"/>
                <w:szCs w:val="20"/>
                <w:lang w:val="en-GB"/>
              </w:rPr>
            </w:pPr>
            <w:r w:rsidRPr="00C64282">
              <w:rPr>
                <w:rFonts w:ascii="Arial" w:hAnsi="Arial" w:cs="Arial"/>
                <w:sz w:val="20"/>
                <w:szCs w:val="20"/>
                <w:lang w:val="en-GB"/>
              </w:rPr>
              <w:t>DACA</w:t>
            </w:r>
            <w:r w:rsidR="007F1E36" w:rsidRPr="00C64282">
              <w:rPr>
                <w:rFonts w:ascii="Arial" w:hAnsi="Arial" w:cs="Arial"/>
                <w:sz w:val="20"/>
                <w:szCs w:val="20"/>
                <w:lang w:val="en-GB"/>
              </w:rPr>
              <w:t>/CESAS Executive in CAF´s Country Office rt and</w:t>
            </w:r>
            <w:r w:rsidR="007F1E36" w:rsidRPr="00C64282">
              <w:rPr>
                <w:rFonts w:ascii="Arial" w:hAnsi="Arial" w:cs="Arial"/>
                <w:spacing w:val="-3"/>
                <w:sz w:val="20"/>
                <w:szCs w:val="20"/>
                <w:lang w:val="en-GB"/>
              </w:rPr>
              <w:t xml:space="preserve"> </w:t>
            </w:r>
            <w:r w:rsidR="007F1E36" w:rsidRPr="00C64282">
              <w:rPr>
                <w:rFonts w:ascii="Arial" w:hAnsi="Arial" w:cs="Arial"/>
                <w:sz w:val="20"/>
                <w:szCs w:val="20"/>
                <w:lang w:val="en-GB"/>
              </w:rPr>
              <w:t>project task team leader.</w:t>
            </w:r>
          </w:p>
        </w:tc>
      </w:tr>
    </w:tbl>
    <w:p w14:paraId="6B4F5092" w14:textId="364E66DE" w:rsidR="00996E0E" w:rsidRDefault="00996E0E" w:rsidP="00406472">
      <w:pPr>
        <w:spacing w:after="0" w:line="240" w:lineRule="auto"/>
      </w:pPr>
    </w:p>
    <w:p w14:paraId="5E5295C9" w14:textId="1183E7B2" w:rsidR="000739D7" w:rsidRDefault="00066768" w:rsidP="000739D7">
      <w:pPr>
        <w:spacing w:after="0"/>
      </w:pPr>
      <w:r w:rsidRPr="00102605">
        <w:t xml:space="preserve">Table </w:t>
      </w:r>
      <w:r w:rsidR="00D43620" w:rsidRPr="00102605">
        <w:t>1</w:t>
      </w:r>
      <w:r w:rsidRPr="00102605">
        <w:t xml:space="preserve">2 </w:t>
      </w:r>
      <w:r w:rsidR="000739D7" w:rsidRPr="00DA1875">
        <w:t xml:space="preserve">Environmental and Social Risk Management Process for </w:t>
      </w:r>
      <w:r w:rsidR="000739D7">
        <w:t>S</w:t>
      </w:r>
      <w:r w:rsidR="000739D7" w:rsidRPr="00C040F9">
        <w:t xml:space="preserve">ubprojects led by </w:t>
      </w:r>
      <w:r w:rsidR="007C7B4F">
        <w:t>Local Financial Institutions</w:t>
      </w:r>
    </w:p>
    <w:p w14:paraId="59421DFA" w14:textId="77777777" w:rsidR="00BD4C85" w:rsidRPr="00DA1875" w:rsidRDefault="00BD4C85" w:rsidP="000739D7">
      <w:pPr>
        <w:spacing w:after="0"/>
      </w:pPr>
    </w:p>
    <w:tbl>
      <w:tblPr>
        <w:tblStyle w:val="TableNormal1"/>
        <w:tblW w:w="924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4962"/>
        <w:gridCol w:w="2697"/>
      </w:tblGrid>
      <w:tr w:rsidR="00066768" w:rsidRPr="00102605" w14:paraId="69A4E0D0" w14:textId="77777777" w:rsidTr="00CA2FE5">
        <w:trPr>
          <w:trHeight w:val="268"/>
        </w:trPr>
        <w:tc>
          <w:tcPr>
            <w:tcW w:w="1585" w:type="dxa"/>
            <w:shd w:val="clear" w:color="auto" w:fill="D9E2F3" w:themeFill="accent1" w:themeFillTint="33"/>
          </w:tcPr>
          <w:p w14:paraId="17AA4A4B" w14:textId="77777777" w:rsidR="00066768" w:rsidRPr="00102605" w:rsidRDefault="00066768" w:rsidP="00102605">
            <w:pPr>
              <w:pStyle w:val="TableParagraph"/>
              <w:jc w:val="center"/>
              <w:rPr>
                <w:rFonts w:ascii="Arial" w:hAnsi="Arial" w:cs="Arial"/>
                <w:b/>
                <w:sz w:val="20"/>
                <w:szCs w:val="20"/>
                <w:lang w:val="en-GB"/>
              </w:rPr>
            </w:pPr>
            <w:r w:rsidRPr="00102605">
              <w:rPr>
                <w:rFonts w:ascii="Arial" w:hAnsi="Arial" w:cs="Arial"/>
                <w:b/>
                <w:sz w:val="20"/>
                <w:szCs w:val="20"/>
                <w:lang w:val="en-GB"/>
              </w:rPr>
              <w:t>Project</w:t>
            </w:r>
            <w:r w:rsidRPr="00102605">
              <w:rPr>
                <w:rFonts w:ascii="Arial" w:hAnsi="Arial" w:cs="Arial"/>
                <w:b/>
                <w:spacing w:val="-1"/>
                <w:sz w:val="20"/>
                <w:szCs w:val="20"/>
                <w:lang w:val="en-GB"/>
              </w:rPr>
              <w:t xml:space="preserve"> </w:t>
            </w:r>
            <w:r w:rsidRPr="00102605">
              <w:rPr>
                <w:rFonts w:ascii="Arial" w:hAnsi="Arial" w:cs="Arial"/>
                <w:b/>
                <w:sz w:val="20"/>
                <w:szCs w:val="20"/>
                <w:lang w:val="en-GB"/>
              </w:rPr>
              <w:t>Cycle</w:t>
            </w:r>
            <w:r w:rsidRPr="00102605">
              <w:rPr>
                <w:rFonts w:ascii="Arial" w:hAnsi="Arial" w:cs="Arial"/>
                <w:b/>
                <w:spacing w:val="-2"/>
                <w:sz w:val="20"/>
                <w:szCs w:val="20"/>
                <w:lang w:val="en-GB"/>
              </w:rPr>
              <w:t xml:space="preserve"> </w:t>
            </w:r>
            <w:r w:rsidRPr="00102605">
              <w:rPr>
                <w:rFonts w:ascii="Arial" w:hAnsi="Arial" w:cs="Arial"/>
                <w:b/>
                <w:sz w:val="20"/>
                <w:szCs w:val="20"/>
                <w:lang w:val="en-GB"/>
              </w:rPr>
              <w:t>Step</w:t>
            </w:r>
          </w:p>
        </w:tc>
        <w:tc>
          <w:tcPr>
            <w:tcW w:w="4962" w:type="dxa"/>
            <w:shd w:val="clear" w:color="auto" w:fill="D9E2F3" w:themeFill="accent1" w:themeFillTint="33"/>
          </w:tcPr>
          <w:p w14:paraId="7AF0D9D6" w14:textId="77777777" w:rsidR="00066768" w:rsidRPr="00102605" w:rsidRDefault="00066768" w:rsidP="00102605">
            <w:pPr>
              <w:pStyle w:val="TableParagraph"/>
              <w:jc w:val="center"/>
              <w:rPr>
                <w:rFonts w:ascii="Arial" w:hAnsi="Arial" w:cs="Arial"/>
                <w:b/>
                <w:sz w:val="20"/>
                <w:szCs w:val="20"/>
                <w:lang w:val="en-GB"/>
              </w:rPr>
            </w:pPr>
            <w:r w:rsidRPr="00102605">
              <w:rPr>
                <w:rFonts w:ascii="Arial" w:hAnsi="Arial" w:cs="Arial"/>
                <w:b/>
                <w:sz w:val="20"/>
                <w:szCs w:val="20"/>
                <w:lang w:val="en-GB"/>
              </w:rPr>
              <w:t>Environment and Social Risk Management (ESRM) actions</w:t>
            </w:r>
            <w:r w:rsidRPr="00102605">
              <w:rPr>
                <w:rStyle w:val="Refdenotaalpie"/>
                <w:rFonts w:ascii="Arial" w:hAnsi="Arial" w:cs="Arial"/>
                <w:b/>
                <w:sz w:val="20"/>
                <w:szCs w:val="20"/>
                <w:lang w:val="en-GB"/>
              </w:rPr>
              <w:footnoteReference w:id="33"/>
            </w:r>
          </w:p>
        </w:tc>
        <w:tc>
          <w:tcPr>
            <w:tcW w:w="2697" w:type="dxa"/>
            <w:shd w:val="clear" w:color="auto" w:fill="D9E2F3" w:themeFill="accent1" w:themeFillTint="33"/>
          </w:tcPr>
          <w:p w14:paraId="04E1E899" w14:textId="77777777" w:rsidR="00066768" w:rsidRPr="00102605" w:rsidRDefault="00066768" w:rsidP="00102605">
            <w:pPr>
              <w:pStyle w:val="TableParagraph"/>
              <w:jc w:val="center"/>
              <w:rPr>
                <w:rFonts w:ascii="Arial" w:hAnsi="Arial" w:cs="Arial"/>
                <w:b/>
                <w:sz w:val="20"/>
                <w:szCs w:val="20"/>
                <w:lang w:val="en-GB"/>
              </w:rPr>
            </w:pPr>
            <w:r w:rsidRPr="00102605">
              <w:rPr>
                <w:rFonts w:ascii="Arial" w:hAnsi="Arial" w:cs="Arial"/>
                <w:b/>
                <w:sz w:val="20"/>
                <w:szCs w:val="20"/>
                <w:lang w:val="en-GB"/>
              </w:rPr>
              <w:t>Role and responsibilities</w:t>
            </w:r>
          </w:p>
        </w:tc>
      </w:tr>
      <w:tr w:rsidR="00FD66B5" w:rsidRPr="00102605" w14:paraId="4FB66613" w14:textId="77777777" w:rsidTr="00102605">
        <w:trPr>
          <w:trHeight w:val="970"/>
        </w:trPr>
        <w:tc>
          <w:tcPr>
            <w:tcW w:w="1585" w:type="dxa"/>
          </w:tcPr>
          <w:p w14:paraId="75518458" w14:textId="77777777" w:rsidR="00FD66B5" w:rsidRPr="00102605" w:rsidRDefault="00FD66B5" w:rsidP="00102605">
            <w:pPr>
              <w:pStyle w:val="TableParagraph"/>
              <w:rPr>
                <w:rFonts w:ascii="Arial" w:hAnsi="Arial" w:cs="Arial"/>
                <w:i/>
                <w:sz w:val="20"/>
                <w:szCs w:val="20"/>
                <w:lang w:val="en-GB"/>
              </w:rPr>
            </w:pPr>
            <w:r w:rsidRPr="00102605">
              <w:rPr>
                <w:rFonts w:ascii="Arial" w:hAnsi="Arial" w:cs="Arial"/>
                <w:i/>
                <w:sz w:val="20"/>
                <w:szCs w:val="20"/>
                <w:lang w:val="en-GB"/>
              </w:rPr>
              <w:t xml:space="preserve"> Origination</w:t>
            </w:r>
          </w:p>
        </w:tc>
        <w:tc>
          <w:tcPr>
            <w:tcW w:w="4962" w:type="dxa"/>
          </w:tcPr>
          <w:p w14:paraId="2DA84923" w14:textId="431D8558" w:rsidR="00C7252B" w:rsidRDefault="00FD66B5" w:rsidP="00102605">
            <w:pPr>
              <w:pStyle w:val="TableParagraph"/>
              <w:ind w:left="108"/>
              <w:rPr>
                <w:rFonts w:ascii="Arial" w:hAnsi="Arial" w:cs="Arial"/>
                <w:sz w:val="20"/>
                <w:szCs w:val="20"/>
                <w:lang w:val="en-GB"/>
              </w:rPr>
            </w:pPr>
            <w:r w:rsidRPr="00102605">
              <w:rPr>
                <w:rFonts w:ascii="Arial" w:hAnsi="Arial" w:cs="Arial"/>
                <w:sz w:val="20"/>
                <w:szCs w:val="20"/>
                <w:lang w:val="en-GB"/>
              </w:rPr>
              <w:t>Screening:</w:t>
            </w:r>
          </w:p>
          <w:p w14:paraId="50421D87" w14:textId="76C8D1DF" w:rsidR="00C7252B" w:rsidRPr="00663DEE" w:rsidRDefault="00C7252B" w:rsidP="00FE158F">
            <w:pPr>
              <w:pStyle w:val="Prrafodelista"/>
              <w:widowControl/>
              <w:numPr>
                <w:ilvl w:val="0"/>
                <w:numId w:val="54"/>
              </w:numPr>
              <w:shd w:val="clear" w:color="auto" w:fill="FFFFFF"/>
              <w:autoSpaceDE/>
              <w:autoSpaceDN/>
              <w:spacing w:line="259" w:lineRule="auto"/>
              <w:ind w:left="465" w:hanging="357"/>
              <w:rPr>
                <w:rFonts w:cs="Arial"/>
                <w:sz w:val="20"/>
                <w:szCs w:val="20"/>
                <w:lang w:val="en-GB"/>
              </w:rPr>
            </w:pPr>
            <w:r w:rsidRPr="00495508">
              <w:t xml:space="preserve">Undertake preliminary analysis to </w:t>
            </w:r>
            <w:r w:rsidRPr="00735810">
              <w:rPr>
                <w:rFonts w:cs="Arial"/>
                <w:sz w:val="20"/>
                <w:szCs w:val="20"/>
              </w:rPr>
              <w:t xml:space="preserve">identify and evaluate environmental, social, gender and climate risks and impacts </w:t>
            </w:r>
            <w:r w:rsidR="00642FE5">
              <w:rPr>
                <w:rFonts w:cs="Arial"/>
                <w:sz w:val="20"/>
                <w:szCs w:val="20"/>
              </w:rPr>
              <w:t xml:space="preserve">related to the </w:t>
            </w:r>
            <w:r>
              <w:rPr>
                <w:rFonts w:cs="Arial"/>
                <w:sz w:val="20"/>
                <w:szCs w:val="20"/>
              </w:rPr>
              <w:t>LFI</w:t>
            </w:r>
            <w:r w:rsidR="00AB690A">
              <w:rPr>
                <w:rFonts w:cs="Arial"/>
                <w:sz w:val="20"/>
                <w:szCs w:val="20"/>
              </w:rPr>
              <w:t>´s credit portfolio</w:t>
            </w:r>
            <w:r w:rsidRPr="00DB1601">
              <w:rPr>
                <w:rFonts w:cs="Arial"/>
                <w:sz w:val="20"/>
                <w:szCs w:val="20"/>
              </w:rPr>
              <w:t>.</w:t>
            </w:r>
          </w:p>
          <w:p w14:paraId="39427F02" w14:textId="52C16F14" w:rsidR="00FD66B5" w:rsidRPr="00102605" w:rsidRDefault="00FD66B5" w:rsidP="00C7252B">
            <w:pPr>
              <w:pStyle w:val="TableParagraph"/>
              <w:numPr>
                <w:ilvl w:val="0"/>
                <w:numId w:val="54"/>
              </w:numPr>
              <w:rPr>
                <w:rFonts w:ascii="Arial" w:hAnsi="Arial" w:cs="Arial"/>
                <w:sz w:val="20"/>
                <w:szCs w:val="20"/>
                <w:lang w:val="en-GB"/>
              </w:rPr>
            </w:pPr>
            <w:r w:rsidRPr="00102605">
              <w:rPr>
                <w:rFonts w:ascii="Arial" w:hAnsi="Arial" w:cs="Arial"/>
                <w:sz w:val="20"/>
                <w:szCs w:val="20"/>
                <w:lang w:val="en-GB"/>
              </w:rPr>
              <w:t xml:space="preserve">Assign </w:t>
            </w:r>
            <w:r w:rsidR="0080673B">
              <w:rPr>
                <w:rFonts w:ascii="Arial" w:hAnsi="Arial" w:cs="Arial"/>
                <w:sz w:val="20"/>
                <w:szCs w:val="20"/>
                <w:lang w:val="en-GB"/>
              </w:rPr>
              <w:t xml:space="preserve">an </w:t>
            </w:r>
            <w:r w:rsidRPr="00102605">
              <w:rPr>
                <w:rFonts w:ascii="Arial" w:hAnsi="Arial" w:cs="Arial"/>
                <w:sz w:val="20"/>
                <w:szCs w:val="20"/>
                <w:lang w:val="en-GB"/>
              </w:rPr>
              <w:t>Environmental and social</w:t>
            </w:r>
            <w:r w:rsidRPr="00102605">
              <w:rPr>
                <w:rFonts w:ascii="Arial" w:hAnsi="Arial" w:cs="Arial"/>
                <w:spacing w:val="-2"/>
                <w:sz w:val="20"/>
                <w:szCs w:val="20"/>
                <w:lang w:val="en-GB"/>
              </w:rPr>
              <w:t xml:space="preserve"> </w:t>
            </w:r>
            <w:r w:rsidRPr="00102605">
              <w:rPr>
                <w:rFonts w:ascii="Arial" w:hAnsi="Arial" w:cs="Arial"/>
                <w:sz w:val="20"/>
                <w:szCs w:val="20"/>
                <w:lang w:val="en-GB"/>
              </w:rPr>
              <w:t>category</w:t>
            </w:r>
            <w:r w:rsidRPr="00102605">
              <w:rPr>
                <w:rFonts w:ascii="Arial" w:hAnsi="Arial" w:cs="Arial"/>
                <w:spacing w:val="-2"/>
                <w:sz w:val="20"/>
                <w:szCs w:val="20"/>
                <w:lang w:val="en-GB"/>
              </w:rPr>
              <w:t xml:space="preserve"> </w:t>
            </w:r>
            <w:r w:rsidRPr="00102605">
              <w:rPr>
                <w:rFonts w:ascii="Arial" w:hAnsi="Arial" w:cs="Arial"/>
                <w:sz w:val="20"/>
                <w:szCs w:val="20"/>
                <w:lang w:val="en-GB"/>
              </w:rPr>
              <w:t xml:space="preserve">(FI-2 or FI-3). Category FI-1 subprojects are </w:t>
            </w:r>
            <w:r w:rsidR="0080673B">
              <w:rPr>
                <w:rFonts w:ascii="Arial" w:hAnsi="Arial" w:cs="Arial"/>
                <w:sz w:val="20"/>
                <w:szCs w:val="20"/>
                <w:lang w:val="en-GB"/>
              </w:rPr>
              <w:t xml:space="preserve">will not be eligible and will be </w:t>
            </w:r>
            <w:r w:rsidRPr="00102605">
              <w:rPr>
                <w:rFonts w:ascii="Arial" w:hAnsi="Arial" w:cs="Arial"/>
                <w:sz w:val="20"/>
                <w:szCs w:val="20"/>
                <w:lang w:val="en-GB"/>
              </w:rPr>
              <w:t>excluded.</w:t>
            </w:r>
            <w:r w:rsidRPr="00102605">
              <w:rPr>
                <w:rStyle w:val="Refdenotaalpie"/>
                <w:rFonts w:ascii="Arial" w:hAnsi="Arial" w:cs="Arial"/>
                <w:sz w:val="20"/>
                <w:szCs w:val="20"/>
                <w:lang w:val="en-GB"/>
              </w:rPr>
              <w:footnoteReference w:id="34"/>
            </w:r>
          </w:p>
          <w:p w14:paraId="534F1CAD" w14:textId="66B4B36B" w:rsidR="00FD66B5" w:rsidRPr="00102605" w:rsidRDefault="00FD66B5" w:rsidP="00102605">
            <w:pPr>
              <w:pStyle w:val="TableParagraph"/>
              <w:ind w:left="108"/>
              <w:rPr>
                <w:rFonts w:ascii="Arial" w:hAnsi="Arial" w:cs="Arial"/>
                <w:sz w:val="20"/>
                <w:szCs w:val="20"/>
                <w:lang w:val="en-GB"/>
              </w:rPr>
            </w:pPr>
            <w:r w:rsidRPr="00102605">
              <w:rPr>
                <w:rFonts w:ascii="Arial" w:hAnsi="Arial" w:cs="Arial"/>
                <w:sz w:val="20"/>
                <w:szCs w:val="20"/>
                <w:lang w:val="en-GB"/>
              </w:rPr>
              <w:t xml:space="preserve">Scoping: </w:t>
            </w:r>
            <w:r w:rsidR="008745B9">
              <w:rPr>
                <w:rFonts w:ascii="Arial" w:hAnsi="Arial" w:cs="Arial"/>
                <w:sz w:val="20"/>
                <w:szCs w:val="20"/>
                <w:lang w:val="en-GB"/>
              </w:rPr>
              <w:t xml:space="preserve">Appraise </w:t>
            </w:r>
            <w:r w:rsidRPr="00102605">
              <w:rPr>
                <w:rFonts w:ascii="Arial" w:hAnsi="Arial" w:cs="Arial"/>
                <w:sz w:val="20"/>
                <w:szCs w:val="20"/>
                <w:lang w:val="en-GB"/>
              </w:rPr>
              <w:t xml:space="preserve">the FI´s ESRAS </w:t>
            </w:r>
            <w:proofErr w:type="spellStart"/>
            <w:r w:rsidRPr="00102605">
              <w:rPr>
                <w:rFonts w:ascii="Arial" w:hAnsi="Arial" w:cs="Arial"/>
                <w:sz w:val="20"/>
                <w:szCs w:val="20"/>
                <w:lang w:val="en-GB"/>
              </w:rPr>
              <w:t>orESMS</w:t>
            </w:r>
            <w:proofErr w:type="spellEnd"/>
            <w:r w:rsidRPr="00102605">
              <w:rPr>
                <w:rFonts w:ascii="Arial" w:hAnsi="Arial" w:cs="Arial"/>
                <w:sz w:val="20"/>
                <w:szCs w:val="20"/>
                <w:lang w:val="en-GB"/>
              </w:rPr>
              <w:t>)</w:t>
            </w:r>
          </w:p>
        </w:tc>
        <w:tc>
          <w:tcPr>
            <w:tcW w:w="2697" w:type="dxa"/>
          </w:tcPr>
          <w:p w14:paraId="1D0C0AAB" w14:textId="77777777" w:rsidR="00FD66B5" w:rsidRPr="00102605" w:rsidRDefault="00FD66B5" w:rsidP="00102605">
            <w:pPr>
              <w:pStyle w:val="TableParagraph"/>
              <w:ind w:left="108"/>
              <w:rPr>
                <w:rFonts w:ascii="Arial" w:hAnsi="Arial" w:cs="Arial"/>
                <w:sz w:val="20"/>
                <w:szCs w:val="20"/>
                <w:lang w:val="en-GB"/>
              </w:rPr>
            </w:pPr>
            <w:r w:rsidRPr="00102605">
              <w:rPr>
                <w:rFonts w:ascii="Arial" w:hAnsi="Arial" w:cs="Arial"/>
                <w:sz w:val="20"/>
                <w:szCs w:val="20"/>
                <w:lang w:val="en-GB"/>
              </w:rPr>
              <w:t>DACA/CESAS Executive in CAF´s Country Office</w:t>
            </w:r>
          </w:p>
          <w:p w14:paraId="7201F239" w14:textId="77777777" w:rsidR="00FD66B5" w:rsidRPr="00102605" w:rsidRDefault="00FD66B5" w:rsidP="00102605">
            <w:pPr>
              <w:pStyle w:val="TableParagraph"/>
              <w:ind w:left="108"/>
              <w:rPr>
                <w:rFonts w:ascii="Arial" w:hAnsi="Arial" w:cs="Arial"/>
                <w:sz w:val="20"/>
                <w:szCs w:val="20"/>
                <w:lang w:val="en-GB"/>
              </w:rPr>
            </w:pPr>
          </w:p>
        </w:tc>
      </w:tr>
      <w:tr w:rsidR="00066768" w:rsidRPr="00102605" w14:paraId="54B481B8" w14:textId="77777777" w:rsidTr="00C10900">
        <w:trPr>
          <w:trHeight w:val="912"/>
        </w:trPr>
        <w:tc>
          <w:tcPr>
            <w:tcW w:w="1585" w:type="dxa"/>
            <w:vMerge w:val="restart"/>
          </w:tcPr>
          <w:p w14:paraId="1118045F" w14:textId="77777777" w:rsidR="00066768" w:rsidRPr="00102605" w:rsidRDefault="00066768" w:rsidP="00102605">
            <w:pPr>
              <w:pStyle w:val="TableParagraph"/>
              <w:rPr>
                <w:rFonts w:ascii="Arial" w:hAnsi="Arial" w:cs="Arial"/>
                <w:i/>
                <w:sz w:val="20"/>
                <w:szCs w:val="20"/>
                <w:lang w:val="en-GB"/>
              </w:rPr>
            </w:pPr>
            <w:r w:rsidRPr="00102605">
              <w:rPr>
                <w:rFonts w:ascii="Arial" w:hAnsi="Arial" w:cs="Arial"/>
                <w:i/>
                <w:sz w:val="20"/>
                <w:szCs w:val="20"/>
                <w:lang w:val="en-GB"/>
              </w:rPr>
              <w:t xml:space="preserve"> Evaluation</w:t>
            </w:r>
          </w:p>
        </w:tc>
        <w:tc>
          <w:tcPr>
            <w:tcW w:w="4962" w:type="dxa"/>
          </w:tcPr>
          <w:p w14:paraId="616C748B"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Conduct ESDD</w:t>
            </w:r>
            <w:r w:rsidRPr="00102605">
              <w:rPr>
                <w:rFonts w:ascii="Arial" w:hAnsi="Arial" w:cs="Arial"/>
                <w:spacing w:val="-3"/>
                <w:sz w:val="20"/>
                <w:szCs w:val="20"/>
                <w:lang w:val="en-GB"/>
              </w:rPr>
              <w:t xml:space="preserve"> </w:t>
            </w:r>
            <w:r w:rsidRPr="00102605">
              <w:rPr>
                <w:rFonts w:ascii="Arial" w:hAnsi="Arial" w:cs="Arial"/>
                <w:sz w:val="20"/>
                <w:szCs w:val="20"/>
                <w:lang w:val="en-GB"/>
              </w:rPr>
              <w:t>during</w:t>
            </w:r>
            <w:r w:rsidRPr="00102605">
              <w:rPr>
                <w:rFonts w:ascii="Arial" w:hAnsi="Arial" w:cs="Arial"/>
                <w:spacing w:val="-2"/>
                <w:sz w:val="20"/>
                <w:szCs w:val="20"/>
                <w:lang w:val="en-GB"/>
              </w:rPr>
              <w:t xml:space="preserve"> </w:t>
            </w:r>
            <w:r w:rsidRPr="00102605">
              <w:rPr>
                <w:rFonts w:ascii="Arial" w:hAnsi="Arial" w:cs="Arial"/>
                <w:sz w:val="20"/>
                <w:szCs w:val="20"/>
                <w:lang w:val="en-GB"/>
              </w:rPr>
              <w:t>project</w:t>
            </w:r>
            <w:r w:rsidRPr="00102605">
              <w:rPr>
                <w:rFonts w:ascii="Arial" w:hAnsi="Arial" w:cs="Arial"/>
                <w:spacing w:val="-3"/>
                <w:sz w:val="20"/>
                <w:szCs w:val="20"/>
                <w:lang w:val="en-GB"/>
              </w:rPr>
              <w:t xml:space="preserve"> </w:t>
            </w:r>
            <w:r w:rsidRPr="00102605">
              <w:rPr>
                <w:rFonts w:ascii="Arial" w:hAnsi="Arial" w:cs="Arial"/>
                <w:sz w:val="20"/>
                <w:szCs w:val="20"/>
                <w:lang w:val="en-GB"/>
              </w:rPr>
              <w:t>appraisal:</w:t>
            </w:r>
          </w:p>
          <w:p w14:paraId="174D415C" w14:textId="70D19819" w:rsidR="00066768" w:rsidRPr="00102605" w:rsidRDefault="00066768" w:rsidP="00066768">
            <w:pPr>
              <w:pStyle w:val="TableParagraph"/>
              <w:numPr>
                <w:ilvl w:val="0"/>
                <w:numId w:val="54"/>
              </w:numPr>
              <w:rPr>
                <w:rFonts w:ascii="Arial" w:hAnsi="Arial" w:cs="Arial"/>
                <w:sz w:val="20"/>
                <w:szCs w:val="20"/>
                <w:lang w:val="en-GB"/>
              </w:rPr>
            </w:pPr>
            <w:r w:rsidRPr="00102605">
              <w:rPr>
                <w:rFonts w:ascii="Arial" w:hAnsi="Arial" w:cs="Arial"/>
                <w:sz w:val="20"/>
                <w:szCs w:val="20"/>
                <w:lang w:val="en-GB"/>
              </w:rPr>
              <w:t>Prospect and review al</w:t>
            </w:r>
            <w:r w:rsidR="00941D1D">
              <w:rPr>
                <w:rFonts w:ascii="Arial" w:hAnsi="Arial" w:cs="Arial"/>
                <w:sz w:val="20"/>
                <w:szCs w:val="20"/>
                <w:lang w:val="en-GB"/>
              </w:rPr>
              <w:t>l</w:t>
            </w:r>
            <w:r w:rsidRPr="00102605">
              <w:rPr>
                <w:rFonts w:ascii="Arial" w:hAnsi="Arial" w:cs="Arial"/>
                <w:sz w:val="20"/>
                <w:szCs w:val="20"/>
                <w:lang w:val="en-GB"/>
              </w:rPr>
              <w:t xml:space="preserve"> documentation </w:t>
            </w:r>
            <w:r w:rsidR="00941D1D">
              <w:rPr>
                <w:rFonts w:ascii="Arial" w:hAnsi="Arial" w:cs="Arial"/>
                <w:sz w:val="20"/>
                <w:szCs w:val="20"/>
                <w:lang w:val="en-GB"/>
              </w:rPr>
              <w:t xml:space="preserve">relating to the </w:t>
            </w:r>
            <w:r w:rsidR="009D57F6">
              <w:rPr>
                <w:rFonts w:ascii="Arial" w:hAnsi="Arial" w:cs="Arial"/>
                <w:sz w:val="20"/>
                <w:szCs w:val="20"/>
                <w:lang w:val="en-GB"/>
              </w:rPr>
              <w:t>LFI policies</w:t>
            </w:r>
            <w:r w:rsidRPr="00102605">
              <w:rPr>
                <w:rFonts w:ascii="Arial" w:hAnsi="Arial" w:cs="Arial"/>
                <w:sz w:val="20"/>
                <w:szCs w:val="20"/>
                <w:lang w:val="en-GB"/>
              </w:rPr>
              <w:t xml:space="preserve"> and information and</w:t>
            </w:r>
            <w:r w:rsidRPr="00102605">
              <w:rPr>
                <w:rFonts w:ascii="Arial" w:hAnsi="Arial" w:cs="Arial"/>
                <w:spacing w:val="-2"/>
                <w:sz w:val="20"/>
                <w:szCs w:val="20"/>
                <w:lang w:val="en-GB"/>
              </w:rPr>
              <w:t xml:space="preserve"> prepare </w:t>
            </w:r>
            <w:r w:rsidR="00C44F79" w:rsidRPr="00102605">
              <w:rPr>
                <w:rFonts w:ascii="Arial" w:hAnsi="Arial" w:cs="Arial"/>
                <w:spacing w:val="-2"/>
                <w:sz w:val="20"/>
                <w:szCs w:val="20"/>
                <w:lang w:val="en-GB"/>
              </w:rPr>
              <w:t>mission’s</w:t>
            </w:r>
            <w:r w:rsidRPr="00102605">
              <w:rPr>
                <w:rFonts w:ascii="Arial" w:hAnsi="Arial" w:cs="Arial"/>
                <w:spacing w:val="-2"/>
                <w:sz w:val="20"/>
                <w:szCs w:val="20"/>
                <w:lang w:val="en-GB"/>
              </w:rPr>
              <w:t xml:space="preserve"> scope and agenda.</w:t>
            </w:r>
          </w:p>
          <w:p w14:paraId="09D1145B" w14:textId="691DB2E1" w:rsidR="00066768" w:rsidRPr="00102605" w:rsidRDefault="00066768" w:rsidP="00066768">
            <w:pPr>
              <w:pStyle w:val="TableParagraph"/>
              <w:numPr>
                <w:ilvl w:val="0"/>
                <w:numId w:val="54"/>
              </w:numPr>
              <w:rPr>
                <w:rFonts w:ascii="Arial" w:hAnsi="Arial" w:cs="Arial"/>
                <w:sz w:val="20"/>
                <w:szCs w:val="20"/>
                <w:lang w:val="en-GB"/>
              </w:rPr>
            </w:pPr>
            <w:r w:rsidRPr="00102605">
              <w:rPr>
                <w:rFonts w:ascii="Arial" w:hAnsi="Arial" w:cs="Arial"/>
                <w:sz w:val="20"/>
                <w:szCs w:val="20"/>
                <w:lang w:val="en-GB"/>
              </w:rPr>
              <w:t>Undertake</w:t>
            </w:r>
            <w:r w:rsidR="00FD66B5" w:rsidRPr="00102605">
              <w:rPr>
                <w:rFonts w:ascii="Arial" w:hAnsi="Arial" w:cs="Arial"/>
                <w:sz w:val="20"/>
                <w:szCs w:val="20"/>
                <w:lang w:val="en-GB"/>
              </w:rPr>
              <w:t xml:space="preserve"> </w:t>
            </w:r>
            <w:r w:rsidRPr="00102605">
              <w:rPr>
                <w:rFonts w:ascii="Arial" w:hAnsi="Arial" w:cs="Arial"/>
                <w:sz w:val="20"/>
                <w:szCs w:val="20"/>
                <w:lang w:val="en-GB"/>
              </w:rPr>
              <w:t>mission</w:t>
            </w:r>
            <w:r w:rsidR="00581BA6" w:rsidRPr="00102605">
              <w:rPr>
                <w:rFonts w:ascii="Arial" w:hAnsi="Arial" w:cs="Arial"/>
                <w:sz w:val="20"/>
                <w:szCs w:val="20"/>
                <w:lang w:val="en-GB"/>
              </w:rPr>
              <w:t xml:space="preserve"> and</w:t>
            </w:r>
            <w:r w:rsidRPr="00102605">
              <w:rPr>
                <w:rFonts w:ascii="Arial" w:hAnsi="Arial" w:cs="Arial"/>
                <w:sz w:val="20"/>
                <w:szCs w:val="20"/>
                <w:lang w:val="en-GB"/>
              </w:rPr>
              <w:t xml:space="preserve"> hold technical meetings</w:t>
            </w:r>
            <w:r w:rsidR="00800A52" w:rsidRPr="00102605">
              <w:rPr>
                <w:rFonts w:ascii="Arial" w:hAnsi="Arial" w:cs="Arial"/>
                <w:sz w:val="20"/>
                <w:szCs w:val="20"/>
                <w:lang w:val="en-GB"/>
              </w:rPr>
              <w:t xml:space="preserve"> with relevant departments of the </w:t>
            </w:r>
            <w:r w:rsidR="00642FE5">
              <w:rPr>
                <w:rFonts w:ascii="Arial" w:hAnsi="Arial" w:cs="Arial"/>
                <w:sz w:val="20"/>
                <w:szCs w:val="20"/>
                <w:lang w:val="en-GB"/>
              </w:rPr>
              <w:t>L</w:t>
            </w:r>
            <w:r w:rsidR="00800A52" w:rsidRPr="00102605">
              <w:rPr>
                <w:rFonts w:ascii="Arial" w:hAnsi="Arial" w:cs="Arial"/>
                <w:sz w:val="20"/>
                <w:szCs w:val="20"/>
                <w:lang w:val="en-GB"/>
              </w:rPr>
              <w:t>FI</w:t>
            </w:r>
            <w:r w:rsidR="00FD66B5" w:rsidRPr="00102605">
              <w:rPr>
                <w:rFonts w:ascii="Arial" w:hAnsi="Arial" w:cs="Arial"/>
                <w:sz w:val="20"/>
                <w:szCs w:val="20"/>
                <w:lang w:val="en-GB"/>
              </w:rPr>
              <w:t xml:space="preserve"> to assess the banks ESRAS/ESMS</w:t>
            </w:r>
            <w:r w:rsidR="00E55155" w:rsidRPr="00102605">
              <w:rPr>
                <w:rFonts w:ascii="Arial" w:hAnsi="Arial" w:cs="Arial"/>
                <w:sz w:val="20"/>
                <w:szCs w:val="20"/>
                <w:lang w:val="en-GB"/>
              </w:rPr>
              <w:t>:</w:t>
            </w:r>
            <w:r w:rsidR="00672DFE" w:rsidRPr="00102605">
              <w:rPr>
                <w:rFonts w:ascii="Arial" w:hAnsi="Arial" w:cs="Arial"/>
                <w:sz w:val="20"/>
                <w:szCs w:val="20"/>
                <w:lang w:val="en-GB"/>
              </w:rPr>
              <w:t xml:space="preserve"> (a) policy and standards of performance,</w:t>
            </w:r>
            <w:r w:rsidR="00CD1580" w:rsidRPr="00102605">
              <w:rPr>
                <w:rFonts w:ascii="Arial" w:hAnsi="Arial" w:cs="Arial"/>
                <w:sz w:val="20"/>
                <w:szCs w:val="20"/>
                <w:lang w:val="en-GB"/>
              </w:rPr>
              <w:t xml:space="preserve"> exclusion list</w:t>
            </w:r>
            <w:r w:rsidR="00672DFE" w:rsidRPr="00102605">
              <w:rPr>
                <w:rFonts w:ascii="Arial" w:hAnsi="Arial" w:cs="Arial"/>
                <w:sz w:val="20"/>
                <w:szCs w:val="20"/>
                <w:lang w:val="en-GB"/>
              </w:rPr>
              <w:t xml:space="preserve"> (b) roles and responsibilities for E&amp;S management, coordination, and training, (c) review procedures</w:t>
            </w:r>
            <w:r w:rsidR="00CD1580" w:rsidRPr="00102605">
              <w:rPr>
                <w:rFonts w:ascii="Arial" w:hAnsi="Arial" w:cs="Arial"/>
                <w:sz w:val="20"/>
                <w:szCs w:val="20"/>
                <w:lang w:val="en-GB"/>
              </w:rPr>
              <w:t xml:space="preserve"> and action planning</w:t>
            </w:r>
            <w:r w:rsidR="00672DFE" w:rsidRPr="00102605">
              <w:rPr>
                <w:rFonts w:ascii="Arial" w:hAnsi="Arial" w:cs="Arial"/>
                <w:sz w:val="20"/>
                <w:szCs w:val="20"/>
                <w:lang w:val="en-GB"/>
              </w:rPr>
              <w:t xml:space="preserve"> to ensure compliance with the FI’s own policies and n</w:t>
            </w:r>
            <w:r w:rsidR="00CD1580" w:rsidRPr="00102605">
              <w:rPr>
                <w:rFonts w:ascii="Arial" w:hAnsi="Arial" w:cs="Arial"/>
                <w:sz w:val="20"/>
                <w:szCs w:val="20"/>
                <w:lang w:val="en-GB"/>
              </w:rPr>
              <w:t>a</w:t>
            </w:r>
            <w:r w:rsidR="00672DFE" w:rsidRPr="00102605">
              <w:rPr>
                <w:rFonts w:ascii="Arial" w:hAnsi="Arial" w:cs="Arial"/>
                <w:sz w:val="20"/>
                <w:szCs w:val="20"/>
                <w:lang w:val="en-GB"/>
              </w:rPr>
              <w:t>tional regulations, (d)</w:t>
            </w:r>
            <w:r w:rsidR="00CD1580" w:rsidRPr="00102605">
              <w:rPr>
                <w:rFonts w:ascii="Arial" w:hAnsi="Arial" w:cs="Arial"/>
                <w:sz w:val="20"/>
                <w:szCs w:val="20"/>
                <w:lang w:val="en-GB"/>
              </w:rPr>
              <w:t xml:space="preserve"> </w:t>
            </w:r>
            <w:r w:rsidR="00672DFE" w:rsidRPr="00102605">
              <w:rPr>
                <w:rFonts w:ascii="Arial" w:hAnsi="Arial" w:cs="Arial"/>
                <w:sz w:val="20"/>
                <w:szCs w:val="20"/>
                <w:lang w:val="en-GB"/>
              </w:rPr>
              <w:t>supervision and monitoring of the loan portfolio, and (</w:t>
            </w:r>
            <w:r w:rsidR="00CD1580" w:rsidRPr="00102605">
              <w:rPr>
                <w:rFonts w:ascii="Arial" w:hAnsi="Arial" w:cs="Arial"/>
                <w:sz w:val="20"/>
                <w:szCs w:val="20"/>
                <w:lang w:val="en-GB"/>
              </w:rPr>
              <w:t>e</w:t>
            </w:r>
            <w:r w:rsidR="00672DFE" w:rsidRPr="00102605">
              <w:rPr>
                <w:rFonts w:ascii="Arial" w:hAnsi="Arial" w:cs="Arial"/>
                <w:sz w:val="20"/>
                <w:szCs w:val="20"/>
                <w:lang w:val="en-GB"/>
              </w:rPr>
              <w:t>) reporting requirements on compliance with the ESMS requirements, and (</w:t>
            </w:r>
            <w:r w:rsidR="00CD1580" w:rsidRPr="00102605">
              <w:rPr>
                <w:rFonts w:ascii="Arial" w:hAnsi="Arial" w:cs="Arial"/>
                <w:sz w:val="20"/>
                <w:szCs w:val="20"/>
                <w:lang w:val="en-GB"/>
              </w:rPr>
              <w:t>f</w:t>
            </w:r>
            <w:r w:rsidR="00672DFE" w:rsidRPr="00102605">
              <w:rPr>
                <w:rFonts w:ascii="Arial" w:hAnsi="Arial" w:cs="Arial"/>
                <w:sz w:val="20"/>
                <w:szCs w:val="20"/>
                <w:lang w:val="en-GB"/>
              </w:rPr>
              <w:t>) incorporation of a grievance mechanism as applicable</w:t>
            </w:r>
            <w:r w:rsidR="00CD1580" w:rsidRPr="00102605">
              <w:rPr>
                <w:rFonts w:ascii="Arial" w:hAnsi="Arial" w:cs="Arial"/>
                <w:sz w:val="20"/>
                <w:szCs w:val="20"/>
                <w:lang w:val="en-GB"/>
              </w:rPr>
              <w:t>.</w:t>
            </w:r>
          </w:p>
          <w:p w14:paraId="10013E17" w14:textId="4B5E1756" w:rsidR="00066768" w:rsidRPr="00102605" w:rsidRDefault="00066768" w:rsidP="00800A52">
            <w:pPr>
              <w:pStyle w:val="TableParagraph"/>
              <w:numPr>
                <w:ilvl w:val="0"/>
                <w:numId w:val="54"/>
              </w:numPr>
              <w:rPr>
                <w:rFonts w:ascii="Arial" w:hAnsi="Arial" w:cs="Arial"/>
                <w:sz w:val="20"/>
                <w:szCs w:val="20"/>
                <w:lang w:val="en-GB"/>
              </w:rPr>
            </w:pPr>
            <w:r w:rsidRPr="00102605">
              <w:rPr>
                <w:rFonts w:ascii="Arial" w:hAnsi="Arial" w:cs="Arial"/>
                <w:sz w:val="20"/>
                <w:szCs w:val="20"/>
                <w:lang w:val="en-GB"/>
              </w:rPr>
              <w:t xml:space="preserve">Verify </w:t>
            </w:r>
            <w:r w:rsidR="00800A52" w:rsidRPr="00102605">
              <w:rPr>
                <w:rFonts w:ascii="Arial" w:hAnsi="Arial" w:cs="Arial"/>
                <w:sz w:val="20"/>
                <w:szCs w:val="20"/>
                <w:lang w:val="en-GB"/>
              </w:rPr>
              <w:t xml:space="preserve">mechanisms in place to ensure </w:t>
            </w:r>
            <w:r w:rsidR="00D43620" w:rsidRPr="00102605">
              <w:rPr>
                <w:rFonts w:ascii="Arial" w:hAnsi="Arial" w:cs="Arial"/>
                <w:sz w:val="20"/>
                <w:szCs w:val="20"/>
                <w:lang w:val="en-GB"/>
              </w:rPr>
              <w:t xml:space="preserve">credit beneficiaries’ </w:t>
            </w:r>
            <w:r w:rsidR="00800A52" w:rsidRPr="00102605">
              <w:rPr>
                <w:rFonts w:ascii="Arial" w:hAnsi="Arial" w:cs="Arial"/>
                <w:sz w:val="20"/>
                <w:szCs w:val="20"/>
                <w:lang w:val="en-GB"/>
              </w:rPr>
              <w:t xml:space="preserve">compliance </w:t>
            </w:r>
            <w:r w:rsidR="00D43620" w:rsidRPr="00102605">
              <w:rPr>
                <w:rFonts w:ascii="Arial" w:hAnsi="Arial" w:cs="Arial"/>
                <w:sz w:val="20"/>
                <w:szCs w:val="20"/>
                <w:lang w:val="en-GB"/>
              </w:rPr>
              <w:t>with</w:t>
            </w:r>
            <w:r w:rsidRPr="00102605">
              <w:rPr>
                <w:rFonts w:ascii="Arial" w:hAnsi="Arial" w:cs="Arial"/>
                <w:sz w:val="20"/>
                <w:szCs w:val="20"/>
                <w:lang w:val="en-GB"/>
              </w:rPr>
              <w:t xml:space="preserve"> national regulations</w:t>
            </w:r>
            <w:r w:rsidR="00800A52" w:rsidRPr="00102605">
              <w:rPr>
                <w:rFonts w:ascii="Arial" w:hAnsi="Arial" w:cs="Arial"/>
                <w:sz w:val="20"/>
                <w:szCs w:val="20"/>
                <w:lang w:val="en-GB"/>
              </w:rPr>
              <w:t xml:space="preserve"> and</w:t>
            </w:r>
            <w:r w:rsidRPr="00102605">
              <w:rPr>
                <w:rFonts w:ascii="Arial" w:hAnsi="Arial" w:cs="Arial"/>
                <w:sz w:val="20"/>
                <w:szCs w:val="20"/>
                <w:lang w:val="en-GB"/>
              </w:rPr>
              <w:t xml:space="preserve"> CAF’s Environmental and Social Safeguards</w:t>
            </w:r>
          </w:p>
        </w:tc>
        <w:tc>
          <w:tcPr>
            <w:tcW w:w="2697" w:type="dxa"/>
          </w:tcPr>
          <w:p w14:paraId="1AB7BC2B"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 xml:space="preserve">DACA/CESAS Executive in CAF´s Country Office </w:t>
            </w:r>
          </w:p>
          <w:p w14:paraId="46F029E1" w14:textId="77777777" w:rsidR="00181C0B" w:rsidRPr="00102605" w:rsidRDefault="00181C0B" w:rsidP="00102605">
            <w:pPr>
              <w:pStyle w:val="TableParagraph"/>
              <w:ind w:left="108"/>
              <w:rPr>
                <w:rFonts w:ascii="Arial" w:hAnsi="Arial" w:cs="Arial"/>
                <w:sz w:val="20"/>
                <w:szCs w:val="20"/>
                <w:lang w:val="en-GB"/>
              </w:rPr>
            </w:pPr>
          </w:p>
          <w:p w14:paraId="15BA7FDC" w14:textId="77777777" w:rsidR="00066768" w:rsidRPr="00102605" w:rsidRDefault="00066768" w:rsidP="00102605">
            <w:pPr>
              <w:pStyle w:val="TableParagraph"/>
              <w:ind w:left="108"/>
              <w:rPr>
                <w:rFonts w:ascii="Arial" w:hAnsi="Arial" w:cs="Arial"/>
                <w:sz w:val="20"/>
                <w:szCs w:val="20"/>
                <w:lang w:val="en-GB"/>
              </w:rPr>
            </w:pPr>
          </w:p>
          <w:p w14:paraId="2EC7E447" w14:textId="77777777" w:rsidR="00066768" w:rsidRPr="00102605" w:rsidRDefault="00066768" w:rsidP="00102605">
            <w:pPr>
              <w:pStyle w:val="TableParagraph"/>
              <w:ind w:left="108"/>
              <w:rPr>
                <w:rFonts w:ascii="Arial" w:hAnsi="Arial" w:cs="Arial"/>
                <w:sz w:val="20"/>
                <w:szCs w:val="20"/>
                <w:lang w:val="en-GB"/>
              </w:rPr>
            </w:pPr>
          </w:p>
          <w:p w14:paraId="458D4AF7" w14:textId="77777777" w:rsidR="00066768" w:rsidRPr="00102605" w:rsidRDefault="00066768" w:rsidP="00102605">
            <w:pPr>
              <w:rPr>
                <w:rFonts w:eastAsia="Calibri" w:cs="Arial"/>
                <w:sz w:val="20"/>
                <w:szCs w:val="20"/>
                <w:lang w:val="en-GB"/>
              </w:rPr>
            </w:pPr>
          </w:p>
          <w:p w14:paraId="5881B108" w14:textId="77777777" w:rsidR="00066768" w:rsidRPr="00102605" w:rsidRDefault="00066768" w:rsidP="00102605">
            <w:pPr>
              <w:rPr>
                <w:rFonts w:eastAsia="Calibri" w:cs="Arial"/>
                <w:sz w:val="20"/>
                <w:szCs w:val="20"/>
                <w:lang w:val="en-GB"/>
              </w:rPr>
            </w:pPr>
          </w:p>
          <w:p w14:paraId="02716ECE" w14:textId="77777777" w:rsidR="00066768" w:rsidRPr="00102605" w:rsidRDefault="00066768" w:rsidP="00102605">
            <w:pPr>
              <w:rPr>
                <w:lang w:val="en-GB"/>
              </w:rPr>
            </w:pPr>
          </w:p>
        </w:tc>
      </w:tr>
      <w:tr w:rsidR="00066768" w:rsidRPr="00102605" w14:paraId="5AFC4750" w14:textId="77777777" w:rsidTr="00C10900">
        <w:trPr>
          <w:trHeight w:val="268"/>
        </w:trPr>
        <w:tc>
          <w:tcPr>
            <w:tcW w:w="1585" w:type="dxa"/>
            <w:vMerge/>
          </w:tcPr>
          <w:p w14:paraId="6458F56B" w14:textId="77777777" w:rsidR="00066768" w:rsidRPr="00102605" w:rsidRDefault="00066768" w:rsidP="00102605">
            <w:pPr>
              <w:pStyle w:val="TableParagraph"/>
              <w:rPr>
                <w:rFonts w:ascii="Arial" w:hAnsi="Arial" w:cs="Arial"/>
                <w:i/>
                <w:sz w:val="20"/>
                <w:szCs w:val="20"/>
                <w:lang w:val="en-GB"/>
              </w:rPr>
            </w:pPr>
          </w:p>
        </w:tc>
        <w:tc>
          <w:tcPr>
            <w:tcW w:w="4962" w:type="dxa"/>
          </w:tcPr>
          <w:p w14:paraId="43CBFAA3"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Prepare Environmental and Social Report (ESR)</w:t>
            </w:r>
          </w:p>
        </w:tc>
        <w:tc>
          <w:tcPr>
            <w:tcW w:w="2697" w:type="dxa"/>
            <w:vMerge w:val="restart"/>
          </w:tcPr>
          <w:p w14:paraId="035B2738"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DACA/CESAS Executive in CAF´s Country Office / reviewed by Coordinator</w:t>
            </w:r>
          </w:p>
        </w:tc>
      </w:tr>
      <w:tr w:rsidR="00066768" w:rsidRPr="00102605" w14:paraId="681BD448" w14:textId="77777777" w:rsidTr="00873187">
        <w:trPr>
          <w:trHeight w:val="1225"/>
        </w:trPr>
        <w:tc>
          <w:tcPr>
            <w:tcW w:w="1585" w:type="dxa"/>
            <w:vMerge/>
          </w:tcPr>
          <w:p w14:paraId="1B48BC34" w14:textId="77777777" w:rsidR="00066768" w:rsidRPr="00102605" w:rsidRDefault="00066768" w:rsidP="00102605">
            <w:pPr>
              <w:pStyle w:val="TableParagraph"/>
              <w:rPr>
                <w:rFonts w:ascii="Arial" w:hAnsi="Arial" w:cs="Arial"/>
                <w:i/>
                <w:sz w:val="20"/>
                <w:szCs w:val="20"/>
                <w:lang w:val="en-GB"/>
              </w:rPr>
            </w:pPr>
          </w:p>
        </w:tc>
        <w:tc>
          <w:tcPr>
            <w:tcW w:w="4962" w:type="dxa"/>
          </w:tcPr>
          <w:p w14:paraId="5068DF32" w14:textId="365B7C0D" w:rsidR="00031A19" w:rsidRPr="00102605" w:rsidRDefault="00066768" w:rsidP="00105BA9">
            <w:pPr>
              <w:pStyle w:val="TableParagraph"/>
              <w:ind w:left="108"/>
              <w:rPr>
                <w:rFonts w:ascii="Arial" w:hAnsi="Arial" w:cs="Arial"/>
                <w:sz w:val="20"/>
                <w:szCs w:val="20"/>
                <w:lang w:val="en-GB"/>
              </w:rPr>
            </w:pPr>
            <w:r w:rsidRPr="00102605">
              <w:rPr>
                <w:rFonts w:ascii="Arial" w:hAnsi="Arial" w:cs="Arial"/>
                <w:sz w:val="20"/>
                <w:szCs w:val="20"/>
                <w:lang w:val="en-GB"/>
              </w:rPr>
              <w:t xml:space="preserve">Prepare the Environmental and </w:t>
            </w:r>
            <w:r w:rsidR="00C44F79" w:rsidRPr="00102605">
              <w:rPr>
                <w:rFonts w:ascii="Arial" w:hAnsi="Arial" w:cs="Arial"/>
                <w:sz w:val="20"/>
                <w:szCs w:val="20"/>
                <w:lang w:val="en-GB"/>
              </w:rPr>
              <w:t>Social</w:t>
            </w:r>
            <w:r w:rsidRPr="00102605">
              <w:rPr>
                <w:rFonts w:ascii="Arial" w:hAnsi="Arial" w:cs="Arial"/>
                <w:sz w:val="20"/>
                <w:szCs w:val="20"/>
                <w:lang w:val="en-GB"/>
              </w:rPr>
              <w:t xml:space="preserve"> Action Plan, establishing those additional E&amp;S mitigation and </w:t>
            </w:r>
            <w:r w:rsidR="00C44F79" w:rsidRPr="00102605">
              <w:rPr>
                <w:rFonts w:ascii="Arial" w:hAnsi="Arial" w:cs="Arial"/>
                <w:sz w:val="20"/>
                <w:szCs w:val="20"/>
                <w:lang w:val="en-GB"/>
              </w:rPr>
              <w:t>management</w:t>
            </w:r>
            <w:r w:rsidRPr="00102605">
              <w:rPr>
                <w:rFonts w:ascii="Arial" w:hAnsi="Arial" w:cs="Arial"/>
                <w:sz w:val="20"/>
                <w:szCs w:val="20"/>
                <w:lang w:val="en-GB"/>
              </w:rPr>
              <w:t xml:space="preserve"> measures to ensure compliance with CAF´s Safeguards as well as GCF E&amp;S Policies and Performance Standards</w:t>
            </w:r>
            <w:r w:rsidR="00031A19">
              <w:rPr>
                <w:rFonts w:ascii="Arial" w:hAnsi="Arial" w:cs="Arial"/>
                <w:sz w:val="20"/>
                <w:szCs w:val="20"/>
                <w:lang w:val="en-GB"/>
              </w:rPr>
              <w:t>.</w:t>
            </w:r>
          </w:p>
        </w:tc>
        <w:tc>
          <w:tcPr>
            <w:tcW w:w="2697" w:type="dxa"/>
            <w:vMerge/>
          </w:tcPr>
          <w:p w14:paraId="624765DE" w14:textId="77777777" w:rsidR="00066768" w:rsidRPr="00102605" w:rsidRDefault="00066768" w:rsidP="00102605">
            <w:pPr>
              <w:pStyle w:val="TableParagraph"/>
              <w:ind w:left="108"/>
              <w:rPr>
                <w:rFonts w:ascii="Arial" w:hAnsi="Arial" w:cs="Arial"/>
                <w:sz w:val="20"/>
                <w:szCs w:val="20"/>
                <w:lang w:val="en-GB"/>
              </w:rPr>
            </w:pPr>
          </w:p>
        </w:tc>
      </w:tr>
      <w:tr w:rsidR="00066768" w:rsidRPr="00102605" w14:paraId="090191BE" w14:textId="77777777" w:rsidTr="00C10900">
        <w:trPr>
          <w:trHeight w:val="268"/>
        </w:trPr>
        <w:tc>
          <w:tcPr>
            <w:tcW w:w="1585" w:type="dxa"/>
          </w:tcPr>
          <w:p w14:paraId="0EABB7CF" w14:textId="77777777" w:rsidR="00066768" w:rsidRPr="00102605" w:rsidRDefault="00066768" w:rsidP="00102605">
            <w:pPr>
              <w:pStyle w:val="TableParagraph"/>
              <w:rPr>
                <w:rFonts w:ascii="Arial" w:hAnsi="Arial" w:cs="Arial"/>
                <w:i/>
                <w:sz w:val="20"/>
                <w:szCs w:val="20"/>
                <w:lang w:val="en-GB"/>
              </w:rPr>
            </w:pPr>
            <w:r w:rsidRPr="00102605">
              <w:rPr>
                <w:rFonts w:ascii="Arial" w:hAnsi="Arial" w:cs="Arial"/>
                <w:i/>
                <w:sz w:val="20"/>
                <w:szCs w:val="20"/>
                <w:lang w:val="en-GB"/>
              </w:rPr>
              <w:t xml:space="preserve"> Formalization</w:t>
            </w:r>
          </w:p>
        </w:tc>
        <w:tc>
          <w:tcPr>
            <w:tcW w:w="4962" w:type="dxa"/>
          </w:tcPr>
          <w:p w14:paraId="6CB73805"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Negotiate and agree with the borrower the ESAP.</w:t>
            </w:r>
          </w:p>
          <w:p w14:paraId="4BECFE05" w14:textId="763961B9"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Formalize the ESAP</w:t>
            </w:r>
            <w:r w:rsidR="00D43620" w:rsidRPr="00102605">
              <w:rPr>
                <w:rFonts w:ascii="Arial" w:hAnsi="Arial" w:cs="Arial"/>
                <w:sz w:val="20"/>
                <w:szCs w:val="20"/>
                <w:lang w:val="en-GB"/>
              </w:rPr>
              <w:t xml:space="preserve"> </w:t>
            </w:r>
            <w:r w:rsidRPr="00102605">
              <w:rPr>
                <w:rFonts w:ascii="Arial" w:hAnsi="Arial" w:cs="Arial"/>
                <w:sz w:val="20"/>
                <w:szCs w:val="20"/>
                <w:lang w:val="en-GB"/>
              </w:rPr>
              <w:t>in</w:t>
            </w:r>
            <w:r w:rsidRPr="00102605">
              <w:rPr>
                <w:rFonts w:ascii="Arial" w:hAnsi="Arial" w:cs="Arial"/>
                <w:spacing w:val="-3"/>
                <w:sz w:val="20"/>
                <w:szCs w:val="20"/>
                <w:lang w:val="en-GB"/>
              </w:rPr>
              <w:t xml:space="preserve"> </w:t>
            </w:r>
            <w:r w:rsidRPr="00102605">
              <w:rPr>
                <w:rFonts w:ascii="Arial" w:hAnsi="Arial" w:cs="Arial"/>
                <w:sz w:val="20"/>
                <w:szCs w:val="20"/>
                <w:lang w:val="en-GB"/>
              </w:rPr>
              <w:t>the</w:t>
            </w:r>
            <w:r w:rsidRPr="00102605">
              <w:rPr>
                <w:rFonts w:ascii="Arial" w:hAnsi="Arial" w:cs="Arial"/>
                <w:spacing w:val="-2"/>
                <w:sz w:val="20"/>
                <w:szCs w:val="20"/>
                <w:lang w:val="en-GB"/>
              </w:rPr>
              <w:t xml:space="preserve"> </w:t>
            </w:r>
            <w:r w:rsidRPr="00102605">
              <w:rPr>
                <w:rFonts w:ascii="Arial" w:hAnsi="Arial" w:cs="Arial"/>
                <w:sz w:val="20"/>
                <w:szCs w:val="20"/>
                <w:lang w:val="en-GB"/>
              </w:rPr>
              <w:t>Credit Agreement.</w:t>
            </w:r>
          </w:p>
        </w:tc>
        <w:tc>
          <w:tcPr>
            <w:tcW w:w="2697" w:type="dxa"/>
          </w:tcPr>
          <w:p w14:paraId="5DD9D65D" w14:textId="77777777" w:rsidR="00066768" w:rsidRPr="00102605" w:rsidRDefault="00066768" w:rsidP="00102605">
            <w:pPr>
              <w:pStyle w:val="TableParagraph"/>
              <w:ind w:left="108"/>
              <w:rPr>
                <w:rFonts w:ascii="Arial" w:hAnsi="Arial" w:cs="Arial"/>
                <w:sz w:val="20"/>
                <w:szCs w:val="20"/>
                <w:lang w:val="en-GB"/>
              </w:rPr>
            </w:pPr>
            <w:r w:rsidRPr="00102605">
              <w:rPr>
                <w:rFonts w:ascii="Arial" w:hAnsi="Arial" w:cs="Arial"/>
                <w:sz w:val="20"/>
                <w:szCs w:val="20"/>
                <w:lang w:val="en-GB"/>
              </w:rPr>
              <w:t>DACA/CESAS Executive in CAF´s Country Office rt and</w:t>
            </w:r>
            <w:r w:rsidRPr="00102605">
              <w:rPr>
                <w:rFonts w:ascii="Arial" w:hAnsi="Arial" w:cs="Arial"/>
                <w:spacing w:val="-3"/>
                <w:sz w:val="20"/>
                <w:szCs w:val="20"/>
                <w:lang w:val="en-GB"/>
              </w:rPr>
              <w:t xml:space="preserve"> </w:t>
            </w:r>
            <w:r w:rsidRPr="00102605">
              <w:rPr>
                <w:rFonts w:ascii="Arial" w:hAnsi="Arial" w:cs="Arial"/>
                <w:sz w:val="20"/>
                <w:szCs w:val="20"/>
                <w:lang w:val="en-GB"/>
              </w:rPr>
              <w:t>project task team leader.</w:t>
            </w:r>
          </w:p>
        </w:tc>
      </w:tr>
    </w:tbl>
    <w:p w14:paraId="14695740" w14:textId="57C7EEE5" w:rsidR="00D43620" w:rsidRPr="00102605" w:rsidRDefault="00D43620" w:rsidP="00406472">
      <w:pPr>
        <w:spacing w:after="0" w:line="240" w:lineRule="auto"/>
      </w:pPr>
    </w:p>
    <w:p w14:paraId="425928B1" w14:textId="33F66DA4" w:rsidR="00A6721A" w:rsidRPr="00102605" w:rsidRDefault="00A6721A" w:rsidP="00406472">
      <w:pPr>
        <w:spacing w:after="0" w:line="240" w:lineRule="auto"/>
      </w:pPr>
    </w:p>
    <w:p w14:paraId="1A072703" w14:textId="0B9987FD" w:rsidR="007E6A11" w:rsidRPr="00102605" w:rsidRDefault="007E6A11" w:rsidP="00E45BBC">
      <w:pPr>
        <w:pStyle w:val="Ttulo1"/>
        <w:numPr>
          <w:ilvl w:val="1"/>
          <w:numId w:val="1"/>
        </w:numPr>
        <w:spacing w:before="0" w:after="0" w:line="240" w:lineRule="auto"/>
        <w:ind w:left="567" w:hanging="567"/>
      </w:pPr>
      <w:bookmarkStart w:id="98" w:name="_Toc114152217"/>
      <w:r w:rsidRPr="00102605">
        <w:t>CAF</w:t>
      </w:r>
      <w:r w:rsidR="00302730" w:rsidRPr="00102605">
        <w:t xml:space="preserve"> </w:t>
      </w:r>
      <w:r w:rsidR="00C44F79" w:rsidRPr="00102605">
        <w:t>environmental</w:t>
      </w:r>
      <w:r w:rsidR="00302730" w:rsidRPr="00102605">
        <w:t xml:space="preserve"> and </w:t>
      </w:r>
      <w:r w:rsidR="00C44F79" w:rsidRPr="00102605">
        <w:t>social monitoring</w:t>
      </w:r>
      <w:r w:rsidRPr="00102605">
        <w:t xml:space="preserve"> and supervision</w:t>
      </w:r>
      <w:bookmarkEnd w:id="98"/>
      <w:r w:rsidRPr="00102605">
        <w:t xml:space="preserve"> </w:t>
      </w:r>
    </w:p>
    <w:p w14:paraId="1A260852" w14:textId="77777777" w:rsidR="00406472" w:rsidRDefault="00406472" w:rsidP="00406472">
      <w:pPr>
        <w:spacing w:after="0" w:line="240" w:lineRule="auto"/>
        <w:rPr>
          <w:rFonts w:eastAsia="Times New Roman" w:cs="Arial"/>
          <w:color w:val="000000"/>
        </w:rPr>
      </w:pPr>
    </w:p>
    <w:p w14:paraId="3281D2B1" w14:textId="34920518" w:rsidR="002E52ED" w:rsidRPr="00102605" w:rsidRDefault="00302730" w:rsidP="00406472">
      <w:pPr>
        <w:spacing w:after="0" w:line="240" w:lineRule="auto"/>
        <w:rPr>
          <w:rFonts w:eastAsia="Times New Roman" w:cs="Arial"/>
          <w:color w:val="000000"/>
        </w:rPr>
      </w:pPr>
      <w:r w:rsidRPr="00102605">
        <w:rPr>
          <w:rFonts w:eastAsia="Times New Roman" w:cs="Arial"/>
          <w:color w:val="000000"/>
        </w:rPr>
        <w:t xml:space="preserve">CAF will monitor the environmental and social performance </w:t>
      </w:r>
      <w:r w:rsidR="00E74C4A">
        <w:rPr>
          <w:rFonts w:eastAsia="Times New Roman" w:cs="Arial"/>
          <w:color w:val="000000"/>
        </w:rPr>
        <w:t xml:space="preserve">and compliance with contractual requirements </w:t>
      </w:r>
      <w:r w:rsidRPr="00102605">
        <w:rPr>
          <w:rFonts w:eastAsia="Times New Roman" w:cs="Arial"/>
          <w:color w:val="000000"/>
        </w:rPr>
        <w:t xml:space="preserve">of the specific sub-projects financed by </w:t>
      </w:r>
      <w:r w:rsidR="002E52ED" w:rsidRPr="00102605">
        <w:rPr>
          <w:rFonts w:eastAsia="Times New Roman" w:cs="Arial"/>
          <w:color w:val="000000"/>
        </w:rPr>
        <w:t>Sub-</w:t>
      </w:r>
      <w:r w:rsidRPr="00102605">
        <w:rPr>
          <w:rFonts w:cs="Arial"/>
          <w:szCs w:val="18"/>
        </w:rPr>
        <w:t xml:space="preserve">Program </w:t>
      </w:r>
      <w:r w:rsidR="002E52ED" w:rsidRPr="00102605">
        <w:rPr>
          <w:rFonts w:cs="Arial"/>
          <w:szCs w:val="18"/>
        </w:rPr>
        <w:t xml:space="preserve">2 </w:t>
      </w:r>
      <w:r w:rsidRPr="00102605">
        <w:rPr>
          <w:rFonts w:eastAsia="Times New Roman" w:cs="Arial"/>
          <w:color w:val="000000"/>
        </w:rPr>
        <w:t xml:space="preserve">through supervision by </w:t>
      </w:r>
      <w:r w:rsidR="002E52ED" w:rsidRPr="00102605">
        <w:rPr>
          <w:rFonts w:eastAsia="Times New Roman" w:cs="Arial"/>
          <w:color w:val="000000"/>
        </w:rPr>
        <w:t>CAF´s DACA/CESAS team</w:t>
      </w:r>
      <w:r w:rsidRPr="00102605">
        <w:rPr>
          <w:rFonts w:eastAsia="Times New Roman" w:cs="Arial"/>
          <w:color w:val="000000"/>
        </w:rPr>
        <w:t>.</w:t>
      </w:r>
      <w:r w:rsidR="00EC0BF0" w:rsidRPr="00102605">
        <w:t xml:space="preserve"> </w:t>
      </w:r>
      <w:r w:rsidR="00EC0BF0" w:rsidRPr="00102605">
        <w:rPr>
          <w:rFonts w:eastAsia="Times New Roman" w:cs="Arial"/>
          <w:color w:val="000000"/>
        </w:rPr>
        <w:t xml:space="preserve">The </w:t>
      </w:r>
      <w:r w:rsidR="00E61E49">
        <w:rPr>
          <w:rFonts w:eastAsia="Times New Roman" w:cs="Arial"/>
          <w:color w:val="000000"/>
        </w:rPr>
        <w:t>Implementation Partners</w:t>
      </w:r>
      <w:r w:rsidR="00EC0BF0" w:rsidRPr="00102605">
        <w:rPr>
          <w:rFonts w:eastAsia="Times New Roman" w:cs="Arial"/>
          <w:color w:val="000000"/>
        </w:rPr>
        <w:t xml:space="preserve"> will monitor and document the application of the environmental and social management measures during the implementation of project activities </w:t>
      </w:r>
      <w:r w:rsidR="00C44F79" w:rsidRPr="00102605">
        <w:rPr>
          <w:rFonts w:eastAsia="Times New Roman" w:cs="Arial"/>
          <w:color w:val="000000"/>
        </w:rPr>
        <w:t>and implement</w:t>
      </w:r>
      <w:r w:rsidR="00EC0BF0" w:rsidRPr="00102605">
        <w:rPr>
          <w:rFonts w:eastAsia="Times New Roman" w:cs="Arial"/>
          <w:color w:val="000000"/>
        </w:rPr>
        <w:t xml:space="preserve"> any necessary corrective action should a failure be noted. CAF must be kept informed of developments through periodic monitoring reports.</w:t>
      </w:r>
    </w:p>
    <w:p w14:paraId="7EE3746E" w14:textId="77777777" w:rsidR="00BD4C85" w:rsidRDefault="00BD4C85" w:rsidP="00406472">
      <w:pPr>
        <w:spacing w:after="0" w:line="240" w:lineRule="auto"/>
        <w:rPr>
          <w:rFonts w:eastAsia="Times New Roman" w:cs="Arial"/>
          <w:color w:val="000000"/>
        </w:rPr>
      </w:pPr>
    </w:p>
    <w:p w14:paraId="1F704E6C" w14:textId="5884EF76" w:rsidR="007E6A11" w:rsidRPr="00C10900" w:rsidRDefault="006974A9" w:rsidP="00406472">
      <w:pPr>
        <w:spacing w:after="0" w:line="240" w:lineRule="auto"/>
        <w:rPr>
          <w:rFonts w:eastAsia="Times New Roman" w:cs="Arial"/>
          <w:color w:val="000000"/>
        </w:rPr>
      </w:pPr>
      <w:r w:rsidRPr="00102605">
        <w:rPr>
          <w:rFonts w:eastAsia="Times New Roman" w:cs="Arial"/>
          <w:color w:val="000000"/>
        </w:rPr>
        <w:t xml:space="preserve">All </w:t>
      </w:r>
      <w:r w:rsidR="00302730" w:rsidRPr="00102605">
        <w:rPr>
          <w:rFonts w:eastAsia="Times New Roman" w:cs="Arial"/>
          <w:color w:val="000000"/>
        </w:rPr>
        <w:t xml:space="preserve">Loan agreements will include </w:t>
      </w:r>
      <w:r w:rsidR="003C4C29">
        <w:rPr>
          <w:rFonts w:eastAsia="Times New Roman" w:cs="Arial"/>
          <w:color w:val="000000"/>
        </w:rPr>
        <w:t xml:space="preserve">monitoring and </w:t>
      </w:r>
      <w:r w:rsidR="00302730" w:rsidRPr="00102605">
        <w:rPr>
          <w:rFonts w:eastAsia="Times New Roman" w:cs="Arial"/>
          <w:color w:val="000000"/>
        </w:rPr>
        <w:t xml:space="preserve">reporting requirements by the EE on environmental and social safeguards compliance. </w:t>
      </w:r>
      <w:r w:rsidRPr="00102605">
        <w:rPr>
          <w:rFonts w:eastAsia="Times New Roman" w:cs="Arial"/>
          <w:color w:val="000000"/>
        </w:rPr>
        <w:t>DACA/CESAS</w:t>
      </w:r>
      <w:r w:rsidR="00302730" w:rsidRPr="00102605">
        <w:rPr>
          <w:rFonts w:eastAsia="Times New Roman" w:cs="Arial"/>
          <w:color w:val="000000"/>
        </w:rPr>
        <w:t xml:space="preserve"> specialists will carry out </w:t>
      </w:r>
      <w:r w:rsidRPr="00102605">
        <w:rPr>
          <w:rFonts w:eastAsia="Times New Roman" w:cs="Arial"/>
          <w:color w:val="000000"/>
        </w:rPr>
        <w:t xml:space="preserve">supervision mission, review level of environmental and social safeguard performance </w:t>
      </w:r>
      <w:r w:rsidR="00302730" w:rsidRPr="00102605">
        <w:rPr>
          <w:rFonts w:eastAsia="Times New Roman" w:cs="Arial"/>
          <w:color w:val="000000"/>
        </w:rPr>
        <w:t xml:space="preserve">and prepared a supervision report that includes </w:t>
      </w:r>
      <w:r w:rsidRPr="00102605">
        <w:rPr>
          <w:rFonts w:eastAsia="Times New Roman" w:cs="Arial"/>
          <w:color w:val="000000"/>
        </w:rPr>
        <w:t xml:space="preserve">recommendations </w:t>
      </w:r>
      <w:r w:rsidR="00302730" w:rsidRPr="00102605">
        <w:rPr>
          <w:rFonts w:eastAsia="Times New Roman" w:cs="Arial"/>
          <w:color w:val="000000"/>
        </w:rPr>
        <w:t>to address non-compliances</w:t>
      </w:r>
      <w:r w:rsidRPr="00102605">
        <w:rPr>
          <w:rFonts w:eastAsia="Times New Roman" w:cs="Arial"/>
          <w:color w:val="000000"/>
        </w:rPr>
        <w:t>. S</w:t>
      </w:r>
      <w:r w:rsidR="00302730" w:rsidRPr="00102605">
        <w:rPr>
          <w:rFonts w:eastAsia="Times New Roman" w:cs="Arial"/>
          <w:color w:val="000000"/>
        </w:rPr>
        <w:t xml:space="preserve">upervision </w:t>
      </w:r>
      <w:r w:rsidRPr="00102605">
        <w:rPr>
          <w:rFonts w:eastAsia="Times New Roman" w:cs="Arial"/>
          <w:color w:val="000000"/>
        </w:rPr>
        <w:t xml:space="preserve">mission </w:t>
      </w:r>
      <w:r w:rsidR="00302730" w:rsidRPr="00102605">
        <w:rPr>
          <w:rFonts w:eastAsia="Times New Roman" w:cs="Arial"/>
          <w:color w:val="000000"/>
        </w:rPr>
        <w:t xml:space="preserve">includes support and collaboration with the </w:t>
      </w:r>
      <w:r w:rsidRPr="00102605">
        <w:rPr>
          <w:rFonts w:eastAsia="Times New Roman" w:cs="Arial"/>
          <w:color w:val="000000"/>
        </w:rPr>
        <w:t>EE.</w:t>
      </w:r>
    </w:p>
    <w:p w14:paraId="15160FED" w14:textId="722B53E8" w:rsidR="00961383" w:rsidRPr="00102605" w:rsidRDefault="00961383" w:rsidP="00C10900">
      <w:pPr>
        <w:rPr>
          <w:rFonts w:ascii="Times New Roman" w:hAnsi="Times New Roman" w:cs="Times New Roman"/>
          <w:highlight w:val="yellow"/>
        </w:rPr>
      </w:pPr>
    </w:p>
    <w:p w14:paraId="01E00745" w14:textId="6C4B3380" w:rsidR="00961383" w:rsidRDefault="7EC64E5E" w:rsidP="00E45BBC">
      <w:pPr>
        <w:pStyle w:val="Ttulo1"/>
        <w:numPr>
          <w:ilvl w:val="1"/>
          <w:numId w:val="1"/>
        </w:numPr>
        <w:spacing w:before="0" w:after="0" w:line="240" w:lineRule="auto"/>
        <w:ind w:left="567" w:hanging="567"/>
      </w:pPr>
      <w:bookmarkStart w:id="99" w:name="_Toc67651981"/>
      <w:bookmarkStart w:id="100" w:name="_Toc114152218"/>
      <w:r>
        <w:t xml:space="preserve">Information disclosure, stakeholder engagement, </w:t>
      </w:r>
      <w:proofErr w:type="spellStart"/>
      <w:r w:rsidR="016D24A2">
        <w:t>indigenas</w:t>
      </w:r>
      <w:proofErr w:type="spellEnd"/>
      <w:r w:rsidR="016D24A2">
        <w:t xml:space="preserve"> people and </w:t>
      </w:r>
      <w:r w:rsidR="00BD1E90">
        <w:t>ethnics</w:t>
      </w:r>
      <w:r w:rsidR="016D24A2">
        <w:t xml:space="preserve"> groups </w:t>
      </w:r>
      <w:r>
        <w:t>and grievance redress</w:t>
      </w:r>
      <w:bookmarkEnd w:id="99"/>
      <w:bookmarkEnd w:id="100"/>
    </w:p>
    <w:p w14:paraId="767CB69D" w14:textId="6475F8BC" w:rsidR="00961383" w:rsidRPr="002B4C2F" w:rsidRDefault="00961383" w:rsidP="00EC7C7E">
      <w:pPr>
        <w:pStyle w:val="Ttulo1"/>
        <w:numPr>
          <w:ilvl w:val="2"/>
          <w:numId w:val="77"/>
        </w:numPr>
        <w:spacing w:before="0" w:after="0" w:line="240" w:lineRule="auto"/>
      </w:pPr>
      <w:bookmarkStart w:id="101" w:name="_Toc114152219"/>
      <w:r w:rsidRPr="002B4C2F">
        <w:t>Stakeholder engagement and information disclosure:</w:t>
      </w:r>
      <w:bookmarkEnd w:id="101"/>
    </w:p>
    <w:p w14:paraId="7B741B0B" w14:textId="77777777" w:rsidR="00406472" w:rsidRPr="002B4C2F" w:rsidRDefault="00406472" w:rsidP="00E45BBC">
      <w:pPr>
        <w:spacing w:after="0" w:line="240" w:lineRule="auto"/>
      </w:pPr>
    </w:p>
    <w:p w14:paraId="29769F03" w14:textId="52AC4717" w:rsidR="00961383" w:rsidRPr="002B4C2F" w:rsidRDefault="00961383" w:rsidP="00E45BBC">
      <w:pPr>
        <w:spacing w:after="0" w:line="240" w:lineRule="auto"/>
      </w:pPr>
      <w:r w:rsidRPr="002B4C2F">
        <w:t xml:space="preserve">Community and stakeholder engagement </w:t>
      </w:r>
      <w:r w:rsidR="00C44F79" w:rsidRPr="002B4C2F">
        <w:t>are</w:t>
      </w:r>
      <w:r w:rsidRPr="002B4C2F">
        <w:t xml:space="preserve"> a key component of the </w:t>
      </w:r>
      <w:r w:rsidR="00DD1032" w:rsidRPr="002B4C2F">
        <w:t>Sub-Program 2</w:t>
      </w:r>
      <w:r w:rsidRPr="002B4C2F">
        <w:t xml:space="preserve">. Stakeholders are defined as groups or individuals who are directly and/or indirectly affected by a project, who have or may have interest in it, or may influence it </w:t>
      </w:r>
      <w:r w:rsidR="001424D5" w:rsidRPr="002B4C2F">
        <w:t>positively or negativel</w:t>
      </w:r>
      <w:r w:rsidRPr="002B4C2F">
        <w:t>y. As such, stakeholders can be local communities, individuals, their representatives, governmental bodies, civil society organizations, etc.</w:t>
      </w:r>
    </w:p>
    <w:p w14:paraId="4A817E23" w14:textId="77777777" w:rsidR="00406472" w:rsidRPr="002B4C2F" w:rsidRDefault="00406472" w:rsidP="00E45BBC">
      <w:pPr>
        <w:spacing w:after="0" w:line="240" w:lineRule="auto"/>
      </w:pPr>
    </w:p>
    <w:p w14:paraId="432ED448" w14:textId="6EB2D796" w:rsidR="00961383" w:rsidRPr="002B4C2F" w:rsidRDefault="00961383" w:rsidP="00E45BBC">
      <w:pPr>
        <w:spacing w:after="0" w:line="240" w:lineRule="auto"/>
      </w:pPr>
      <w:r w:rsidRPr="002B4C2F">
        <w:t xml:space="preserve">In the framework of the </w:t>
      </w:r>
      <w:r w:rsidR="00DD1032" w:rsidRPr="002B4C2F">
        <w:t>Sub-Program 2</w:t>
      </w:r>
      <w:r w:rsidRPr="002B4C2F">
        <w:t xml:space="preserve"> and in line with</w:t>
      </w:r>
      <w:r w:rsidR="00E02B9E" w:rsidRPr="002B4C2F">
        <w:t xml:space="preserve"> the</w:t>
      </w:r>
      <w:r w:rsidRPr="002B4C2F">
        <w:t xml:space="preserve"> GCF approach to stakeholder engagement, </w:t>
      </w:r>
      <w:r w:rsidR="00E02B9E" w:rsidRPr="002B4C2F">
        <w:t>CAF</w:t>
      </w:r>
      <w:r w:rsidRPr="002B4C2F">
        <w:t xml:space="preserve"> requires </w:t>
      </w:r>
      <w:r w:rsidR="001B7F52" w:rsidRPr="002B4C2F">
        <w:t xml:space="preserve">the </w:t>
      </w:r>
      <w:r w:rsidRPr="002B4C2F">
        <w:t xml:space="preserve">project owner to ensure the effective engagement of different stakeholders that may be affected or potentially affected by the activities to be implemented within the scope of the </w:t>
      </w:r>
      <w:r w:rsidR="00C637B4" w:rsidRPr="002B4C2F">
        <w:t>Project</w:t>
      </w:r>
      <w:r w:rsidRPr="002B4C2F">
        <w:t xml:space="preserve">. </w:t>
      </w:r>
      <w:r w:rsidR="00724F84" w:rsidRPr="002B4C2F">
        <w:t xml:space="preserve">The project owner will also make available all </w:t>
      </w:r>
      <w:r w:rsidR="001B7F52" w:rsidRPr="002B4C2F">
        <w:t>i</w:t>
      </w:r>
      <w:r w:rsidRPr="002B4C2F">
        <w:t>nformation related to environmental and social issues on activities financed</w:t>
      </w:r>
      <w:r w:rsidR="00724F84" w:rsidRPr="002B4C2F">
        <w:t xml:space="preserve"> by the project, including the</w:t>
      </w:r>
      <w:r w:rsidRPr="002B4C2F">
        <w:t xml:space="preserve"> Environmental and Social </w:t>
      </w:r>
      <w:r w:rsidR="00E133DF">
        <w:t xml:space="preserve">Impact </w:t>
      </w:r>
      <w:r w:rsidR="00724F84" w:rsidRPr="002B4C2F">
        <w:t>Assessment</w:t>
      </w:r>
      <w:r w:rsidR="00B56EF9">
        <w:t xml:space="preserve">, Environmental and Social </w:t>
      </w:r>
      <w:r w:rsidR="002B6252">
        <w:t>Action</w:t>
      </w:r>
      <w:r w:rsidR="00B56EF9">
        <w:t xml:space="preserve"> Plan</w:t>
      </w:r>
      <w:r w:rsidR="002B6252">
        <w:t xml:space="preserve">, Gender Action Plan and Grievance Redress Mechanisms as well as the </w:t>
      </w:r>
      <w:r w:rsidR="00442598">
        <w:t>Integrated</w:t>
      </w:r>
      <w:r w:rsidR="00E4572F">
        <w:t xml:space="preserve"> EV Batter</w:t>
      </w:r>
      <w:r w:rsidR="00014C1F">
        <w:t>y Waste Management Plan</w:t>
      </w:r>
      <w:r w:rsidR="00724F84" w:rsidRPr="002B4C2F">
        <w:t>.</w:t>
      </w:r>
      <w:r w:rsidR="00823B0A" w:rsidRPr="002B4C2F">
        <w:t xml:space="preserve"> The information developed might be culturally </w:t>
      </w:r>
      <w:r w:rsidR="001203DF" w:rsidRPr="002B4C2F">
        <w:t>adequate</w:t>
      </w:r>
      <w:r w:rsidR="00823B0A" w:rsidRPr="002B4C2F">
        <w:t xml:space="preserve"> and in attention on the ethnical diversity</w:t>
      </w:r>
      <w:r w:rsidR="000B5B94" w:rsidRPr="002B4C2F">
        <w:t>.</w:t>
      </w:r>
    </w:p>
    <w:p w14:paraId="3B728535" w14:textId="77777777" w:rsidR="00406472" w:rsidRPr="002B4C2F" w:rsidRDefault="00406472" w:rsidP="00E45BBC">
      <w:pPr>
        <w:spacing w:after="0" w:line="240" w:lineRule="auto"/>
      </w:pPr>
    </w:p>
    <w:p w14:paraId="131882EC" w14:textId="6F3B7C38" w:rsidR="00961383" w:rsidRPr="002B4C2F" w:rsidRDefault="00961383" w:rsidP="00E45BBC">
      <w:pPr>
        <w:spacing w:after="0" w:line="240" w:lineRule="auto"/>
      </w:pPr>
      <w:r w:rsidRPr="002B4C2F">
        <w:t>The project owner must identify the stakeholders who should be engaged according to their level of interest and influence in the project</w:t>
      </w:r>
      <w:r w:rsidR="00E02B9E" w:rsidRPr="002B4C2F">
        <w:t xml:space="preserve"> during the project appraisal process</w:t>
      </w:r>
      <w:r w:rsidRPr="002B4C2F">
        <w:t>. Such</w:t>
      </w:r>
      <w:r w:rsidRPr="002B4C2F">
        <w:rPr>
          <w:spacing w:val="1"/>
        </w:rPr>
        <w:t xml:space="preserve"> </w:t>
      </w:r>
      <w:r w:rsidRPr="002B4C2F">
        <w:t>identification is expected to</w:t>
      </w:r>
      <w:r w:rsidRPr="002B4C2F">
        <w:rPr>
          <w:spacing w:val="1"/>
        </w:rPr>
        <w:t xml:space="preserve"> </w:t>
      </w:r>
      <w:r w:rsidRPr="002B4C2F">
        <w:t xml:space="preserve">be </w:t>
      </w:r>
      <w:r w:rsidR="00C44F79" w:rsidRPr="002B4C2F">
        <w:t>analysed</w:t>
      </w:r>
      <w:r w:rsidRPr="002B4C2F">
        <w:rPr>
          <w:spacing w:val="1"/>
        </w:rPr>
        <w:t xml:space="preserve"> </w:t>
      </w:r>
      <w:r w:rsidRPr="002B4C2F">
        <w:t>through feasibility</w:t>
      </w:r>
      <w:r w:rsidRPr="002B4C2F">
        <w:rPr>
          <w:spacing w:val="1"/>
        </w:rPr>
        <w:t xml:space="preserve"> </w:t>
      </w:r>
      <w:r w:rsidRPr="002B4C2F">
        <w:t>studies</w:t>
      </w:r>
      <w:r w:rsidRPr="002B4C2F">
        <w:rPr>
          <w:spacing w:val="49"/>
        </w:rPr>
        <w:t xml:space="preserve"> </w:t>
      </w:r>
      <w:r w:rsidRPr="002B4C2F">
        <w:t>and/or ESIA. In addition, in case an ESIA is needed, stakeholder analysis must be conducted and the projects</w:t>
      </w:r>
      <w:r w:rsidR="00C87346" w:rsidRPr="002B4C2F">
        <w:t>’</w:t>
      </w:r>
      <w:r w:rsidRPr="002B4C2F">
        <w:t xml:space="preserve"> aspects that might generate adverse environmental and social impact to local communities and individuals and other stakeholders</w:t>
      </w:r>
      <w:r w:rsidRPr="002B4C2F">
        <w:rPr>
          <w:spacing w:val="-47"/>
        </w:rPr>
        <w:t xml:space="preserve"> </w:t>
      </w:r>
      <w:r w:rsidRPr="002B4C2F">
        <w:t xml:space="preserve">must be clearly identified. Each project under the </w:t>
      </w:r>
      <w:r w:rsidR="00DD1032" w:rsidRPr="002B4C2F">
        <w:t>Sub-Program 2</w:t>
      </w:r>
      <w:r w:rsidRPr="002B4C2F">
        <w:t xml:space="preserve"> will require a Stakeholder Engagement Plan (SEP) scaled to the project risks and impacts, and tailored to the needs of affected communities, must be </w:t>
      </w:r>
      <w:proofErr w:type="gramStart"/>
      <w:r w:rsidRPr="002B4C2F">
        <w:t>developed</w:t>
      </w:r>
      <w:proofErr w:type="gramEnd"/>
      <w:r w:rsidRPr="002B4C2F">
        <w:t xml:space="preserve"> and implemented, including a grievance mechanism. </w:t>
      </w:r>
    </w:p>
    <w:p w14:paraId="664E40D8" w14:textId="77777777" w:rsidR="00406472" w:rsidRPr="002B4C2F" w:rsidRDefault="00406472" w:rsidP="00E45BBC">
      <w:pPr>
        <w:spacing w:after="0" w:line="240" w:lineRule="auto"/>
      </w:pPr>
    </w:p>
    <w:p w14:paraId="067445BB" w14:textId="30B1CC77" w:rsidR="00C572CD" w:rsidRPr="002B4C2F" w:rsidRDefault="002546DD" w:rsidP="00E45BBC">
      <w:pPr>
        <w:spacing w:after="0" w:line="240" w:lineRule="auto"/>
      </w:pPr>
      <w:r w:rsidRPr="002B4C2F">
        <w:t xml:space="preserve">The </w:t>
      </w:r>
      <w:r w:rsidR="00626F3C" w:rsidRPr="002B4C2F">
        <w:t xml:space="preserve">stakeholder engagement and </w:t>
      </w:r>
      <w:r w:rsidRPr="002B4C2F">
        <w:t>information</w:t>
      </w:r>
      <w:r w:rsidR="00626F3C" w:rsidRPr="002B4C2F">
        <w:t xml:space="preserve"> disclosure </w:t>
      </w:r>
      <w:r w:rsidR="006238D8" w:rsidRPr="002B4C2F">
        <w:t xml:space="preserve">will be coordinated and integrated in the stakeholder consultation, trainings and interactions </w:t>
      </w:r>
      <w:r w:rsidR="00E03339" w:rsidRPr="002B4C2F">
        <w:t xml:space="preserve">delivered under Output 1.1.1a, Output 1.1.1b, Output 1.4.3, </w:t>
      </w:r>
      <w:r w:rsidR="00755F83" w:rsidRPr="002B4C2F">
        <w:t xml:space="preserve">and Output 1.5.3 under Component 1 of the FP. </w:t>
      </w:r>
      <w:r w:rsidRPr="002B4C2F">
        <w:t xml:space="preserve">  </w:t>
      </w:r>
    </w:p>
    <w:p w14:paraId="43BA4226" w14:textId="77777777" w:rsidR="00C572CD" w:rsidRDefault="00C572CD" w:rsidP="00E45BBC">
      <w:pPr>
        <w:spacing w:after="0" w:line="240" w:lineRule="auto"/>
      </w:pPr>
    </w:p>
    <w:p w14:paraId="4FD37A69" w14:textId="7582EF39" w:rsidR="00B51F16" w:rsidRPr="00B51F16" w:rsidRDefault="00A33394" w:rsidP="00B51F16">
      <w:pPr>
        <w:spacing w:after="0" w:line="240" w:lineRule="auto"/>
      </w:pPr>
      <w:r>
        <w:t xml:space="preserve">The disclosure procedure to be followed entails: </w:t>
      </w:r>
      <w:r w:rsidR="00B51F16" w:rsidRPr="00B51F16">
        <w:t xml:space="preserve">in the case of Category B </w:t>
      </w:r>
      <w:r w:rsidR="006934F0">
        <w:t>sub-</w:t>
      </w:r>
      <w:r w:rsidR="00B51F16" w:rsidRPr="00B51F16">
        <w:t>projects, the ESIA and</w:t>
      </w:r>
      <w:r w:rsidR="00B51F16">
        <w:t xml:space="preserve"> </w:t>
      </w:r>
      <w:r w:rsidR="00B51F16" w:rsidRPr="00B51F16">
        <w:t>an</w:t>
      </w:r>
      <w:r w:rsidR="00B51F16">
        <w:t xml:space="preserve"> </w:t>
      </w:r>
      <w:r w:rsidR="00B51F16" w:rsidRPr="00B51F16">
        <w:t>Environmental and Social</w:t>
      </w:r>
      <w:r w:rsidR="0033023A">
        <w:t xml:space="preserve"> </w:t>
      </w:r>
      <w:r w:rsidR="00B51F16" w:rsidRPr="00B51F16">
        <w:t xml:space="preserve">Management Plan (ESMP) at least 30 days in advance of the </w:t>
      </w:r>
      <w:r w:rsidR="005157A3">
        <w:t xml:space="preserve">loan </w:t>
      </w:r>
      <w:r w:rsidR="005F128C">
        <w:t>approval</w:t>
      </w:r>
      <w:r w:rsidR="00B51F16" w:rsidRPr="00B51F16">
        <w:t>, and</w:t>
      </w:r>
      <w:r w:rsidR="00BA4817">
        <w:t xml:space="preserve"> </w:t>
      </w:r>
      <w:r w:rsidR="00B51F16" w:rsidRPr="00B51F16">
        <w:t xml:space="preserve">in the case of Category I-2 </w:t>
      </w:r>
      <w:r w:rsidR="006934F0">
        <w:t>sub-projects</w:t>
      </w:r>
      <w:r w:rsidR="00B51F16" w:rsidRPr="00B51F16">
        <w:t xml:space="preserve">, the ESMS at least 30 days in advance of the </w:t>
      </w:r>
      <w:r w:rsidR="002D4EF2">
        <w:t xml:space="preserve">loan </w:t>
      </w:r>
      <w:r w:rsidR="005F128C">
        <w:t>approval</w:t>
      </w:r>
      <w:r w:rsidR="00BA4817">
        <w:t>.</w:t>
      </w:r>
      <w:r w:rsidR="00B51F16">
        <w:t xml:space="preserve"> The disclosure will mainly </w:t>
      </w:r>
      <w:r w:rsidR="005E07A9">
        <w:t xml:space="preserve">be </w:t>
      </w:r>
      <w:r w:rsidR="00B51F16">
        <w:t xml:space="preserve">done </w:t>
      </w:r>
      <w:r w:rsidR="005E07A9">
        <w:t>through</w:t>
      </w:r>
      <w:r w:rsidR="00B51F16">
        <w:t xml:space="preserve"> CAF’s web site.</w:t>
      </w:r>
    </w:p>
    <w:p w14:paraId="11ADA144" w14:textId="77777777" w:rsidR="00E27365" w:rsidRDefault="00E27365" w:rsidP="00E45BBC">
      <w:pPr>
        <w:spacing w:after="0" w:line="240" w:lineRule="auto"/>
      </w:pPr>
    </w:p>
    <w:p w14:paraId="2C43BE0E" w14:textId="77777777" w:rsidR="00E27365" w:rsidRPr="002B4C2F" w:rsidRDefault="00E27365" w:rsidP="00E45BBC">
      <w:pPr>
        <w:spacing w:after="0" w:line="240" w:lineRule="auto"/>
      </w:pPr>
    </w:p>
    <w:p w14:paraId="32602741" w14:textId="5F4BB94E" w:rsidR="00961383" w:rsidRPr="002B4C2F" w:rsidRDefault="00961383" w:rsidP="00422E79">
      <w:pPr>
        <w:pStyle w:val="Ttulo1"/>
        <w:numPr>
          <w:ilvl w:val="2"/>
          <w:numId w:val="77"/>
        </w:numPr>
        <w:spacing w:before="0" w:after="0" w:line="240" w:lineRule="auto"/>
      </w:pPr>
      <w:bookmarkStart w:id="102" w:name="_Toc114152220"/>
      <w:r w:rsidRPr="002B4C2F">
        <w:t>Grievance redress:</w:t>
      </w:r>
      <w:bookmarkEnd w:id="102"/>
    </w:p>
    <w:p w14:paraId="0A35987C" w14:textId="77777777" w:rsidR="00406472" w:rsidRPr="002B4C2F" w:rsidRDefault="00406472" w:rsidP="00E45BBC">
      <w:pPr>
        <w:spacing w:after="0" w:line="240" w:lineRule="auto"/>
        <w:rPr>
          <w:rFonts w:cs="Arial"/>
        </w:rPr>
      </w:pPr>
    </w:p>
    <w:p w14:paraId="1995C261" w14:textId="0DADDDEF" w:rsidR="002E051D" w:rsidRDefault="002E051D" w:rsidP="00E45BBC">
      <w:pPr>
        <w:spacing w:after="0" w:line="240" w:lineRule="auto"/>
        <w:rPr>
          <w:rFonts w:cs="Arial"/>
        </w:rPr>
      </w:pPr>
      <w:r w:rsidRPr="002E051D">
        <w:rPr>
          <w:rFonts w:cs="Arial"/>
        </w:rPr>
        <w:t xml:space="preserve">As part of CAF's Environmental and Social Safeguards requirements, all </w:t>
      </w:r>
      <w:r w:rsidR="00FD70FA">
        <w:rPr>
          <w:rFonts w:cs="Arial"/>
        </w:rPr>
        <w:t xml:space="preserve">subprojects of E-Motion Subprogram 2 </w:t>
      </w:r>
      <w:r w:rsidRPr="002E051D">
        <w:rPr>
          <w:rFonts w:cs="Arial"/>
        </w:rPr>
        <w:t>must design and implement a Grievance Redress Mechanism in accordance with the magnitude of the project and the nature of its environmental and social risks. In addition, the project must carry out an extensive information process to publicize the project and ensure that affected people can have recourse to it.</w:t>
      </w:r>
    </w:p>
    <w:p w14:paraId="67A6EF67" w14:textId="77777777" w:rsidR="002E051D" w:rsidRDefault="002E051D" w:rsidP="00E45BBC">
      <w:pPr>
        <w:spacing w:after="0" w:line="240" w:lineRule="auto"/>
        <w:rPr>
          <w:rFonts w:cs="Arial"/>
        </w:rPr>
      </w:pPr>
    </w:p>
    <w:p w14:paraId="37C86F61" w14:textId="537D3E95" w:rsidR="004E50CA" w:rsidRPr="002B4C2F" w:rsidRDefault="00A60804" w:rsidP="00E45BBC">
      <w:pPr>
        <w:spacing w:after="0" w:line="240" w:lineRule="auto"/>
      </w:pPr>
      <w:r>
        <w:rPr>
          <w:rFonts w:cs="Arial"/>
        </w:rPr>
        <w:t>As such, all</w:t>
      </w:r>
      <w:r w:rsidR="00EC0BF0" w:rsidRPr="002B4C2F">
        <w:rPr>
          <w:rFonts w:cs="Arial"/>
        </w:rPr>
        <w:t xml:space="preserve"> </w:t>
      </w:r>
      <w:r w:rsidR="004638F2" w:rsidRPr="002B4C2F">
        <w:rPr>
          <w:rFonts w:cs="Arial"/>
        </w:rPr>
        <w:t>implementing</w:t>
      </w:r>
      <w:r w:rsidR="00EC0BF0" w:rsidRPr="002B4C2F">
        <w:rPr>
          <w:rFonts w:cs="Arial"/>
        </w:rPr>
        <w:t xml:space="preserve"> </w:t>
      </w:r>
      <w:r>
        <w:rPr>
          <w:rFonts w:cs="Arial"/>
        </w:rPr>
        <w:t>partners</w:t>
      </w:r>
      <w:r w:rsidR="00EC0BF0" w:rsidRPr="002B4C2F">
        <w:rPr>
          <w:rFonts w:cs="Arial"/>
        </w:rPr>
        <w:t xml:space="preserve"> will </w:t>
      </w:r>
      <w:r>
        <w:rPr>
          <w:rFonts w:cs="Arial"/>
        </w:rPr>
        <w:t>be</w:t>
      </w:r>
      <w:r w:rsidRPr="002B4C2F">
        <w:rPr>
          <w:rFonts w:cs="Arial"/>
        </w:rPr>
        <w:t xml:space="preserve"> </w:t>
      </w:r>
      <w:r w:rsidR="00C44F79" w:rsidRPr="002B4C2F">
        <w:rPr>
          <w:rFonts w:cs="Arial"/>
        </w:rPr>
        <w:t>require</w:t>
      </w:r>
      <w:r w:rsidR="008744B2">
        <w:rPr>
          <w:rFonts w:cs="Arial"/>
        </w:rPr>
        <w:t>d to</w:t>
      </w:r>
      <w:r w:rsidR="00EC0BF0" w:rsidRPr="002B4C2F">
        <w:rPr>
          <w:rFonts w:cs="Arial"/>
        </w:rPr>
        <w:t xml:space="preserve"> </w:t>
      </w:r>
      <w:r w:rsidR="00BB190B">
        <w:rPr>
          <w:rFonts w:cs="Arial"/>
        </w:rPr>
        <w:t>implement</w:t>
      </w:r>
      <w:r w:rsidR="00BB190B" w:rsidRPr="002B4C2F">
        <w:rPr>
          <w:rFonts w:cs="Arial"/>
        </w:rPr>
        <w:t xml:space="preserve"> </w:t>
      </w:r>
      <w:r w:rsidR="00EC0BF0" w:rsidRPr="002B4C2F">
        <w:rPr>
          <w:rFonts w:cs="Arial"/>
        </w:rPr>
        <w:t xml:space="preserve">effective grievance </w:t>
      </w:r>
      <w:r w:rsidR="00BB190B">
        <w:rPr>
          <w:rFonts w:cs="Arial"/>
        </w:rPr>
        <w:t xml:space="preserve">redress </w:t>
      </w:r>
      <w:r w:rsidR="00EC0BF0" w:rsidRPr="002B4C2F">
        <w:rPr>
          <w:rFonts w:cs="Arial"/>
        </w:rPr>
        <w:t>mechanisms to receive and assist with the resolution of any concerns and grievances of stakeholders that may arise in connection with a sub-project’s gender, social and environmental performance</w:t>
      </w:r>
      <w:r w:rsidR="00DE7552">
        <w:rPr>
          <w:rFonts w:cs="Arial"/>
        </w:rPr>
        <w:t xml:space="preserve">, including </w:t>
      </w:r>
      <w:r w:rsidR="00DE7552" w:rsidRPr="00F63A7B">
        <w:rPr>
          <w:rFonts w:cs="Arial"/>
        </w:rPr>
        <w:t>survivor-centred and gender-responsive SEAH redress procedure</w:t>
      </w:r>
      <w:r w:rsidR="00DE7552">
        <w:rPr>
          <w:rFonts w:cs="Arial"/>
        </w:rPr>
        <w:t>s</w:t>
      </w:r>
      <w:r w:rsidR="00DE7552" w:rsidRPr="00F63A7B">
        <w:rPr>
          <w:rFonts w:cs="Arial"/>
        </w:rPr>
        <w:t xml:space="preserve"> or requirement</w:t>
      </w:r>
      <w:r w:rsidR="00DE7552">
        <w:rPr>
          <w:rFonts w:cs="Arial"/>
        </w:rPr>
        <w:t>s</w:t>
      </w:r>
      <w:r w:rsidR="00DE7552" w:rsidRPr="00F63A7B">
        <w:rPr>
          <w:rFonts w:cs="Arial"/>
        </w:rPr>
        <w:t xml:space="preserve">. </w:t>
      </w:r>
      <w:r w:rsidR="00EC0BF0" w:rsidRPr="002B4C2F">
        <w:rPr>
          <w:rFonts w:cs="Arial"/>
        </w:rPr>
        <w:t xml:space="preserve">Project level </w:t>
      </w:r>
      <w:r w:rsidR="00C44F79" w:rsidRPr="002B4C2F">
        <w:rPr>
          <w:rFonts w:cs="Arial"/>
        </w:rPr>
        <w:t>grievance</w:t>
      </w:r>
      <w:r w:rsidR="00EC0BF0" w:rsidRPr="002B4C2F">
        <w:rPr>
          <w:rFonts w:cs="Arial"/>
        </w:rPr>
        <w:t xml:space="preserve"> mechanisms can provide the fastest </w:t>
      </w:r>
      <w:r w:rsidR="00C44F79" w:rsidRPr="002B4C2F">
        <w:rPr>
          <w:rFonts w:cs="Arial"/>
        </w:rPr>
        <w:t>solutions</w:t>
      </w:r>
      <w:r w:rsidR="00EC0BF0" w:rsidRPr="002B4C2F">
        <w:rPr>
          <w:rFonts w:cs="Arial"/>
        </w:rPr>
        <w:t xml:space="preserve"> for complaint and better management of stakeholder </w:t>
      </w:r>
      <w:r w:rsidR="00C44F79" w:rsidRPr="002B4C2F">
        <w:rPr>
          <w:rFonts w:cs="Arial"/>
        </w:rPr>
        <w:t>expectations. An</w:t>
      </w:r>
      <w:r w:rsidR="004E50CA" w:rsidRPr="002B4C2F">
        <w:t xml:space="preserve"> indicative outline of Stakeholder Engagement Plan and Grievance Mechanisms in available Annex 4.</w:t>
      </w:r>
    </w:p>
    <w:p w14:paraId="26A7FB96" w14:textId="77777777" w:rsidR="00BB190B" w:rsidRDefault="00BB190B" w:rsidP="00E45BBC">
      <w:pPr>
        <w:spacing w:after="0" w:line="240" w:lineRule="auto"/>
      </w:pPr>
    </w:p>
    <w:p w14:paraId="080AD77E" w14:textId="77777777" w:rsidR="00BB190B" w:rsidRPr="00597D64" w:rsidRDefault="00BB190B" w:rsidP="00BB190B">
      <w:pPr>
        <w:spacing w:after="0" w:line="240" w:lineRule="auto"/>
        <w:rPr>
          <w:rFonts w:cs="Arial"/>
          <w:lang w:val="en-US"/>
        </w:rPr>
      </w:pPr>
      <w:r w:rsidRPr="00597D64">
        <w:rPr>
          <w:rFonts w:cs="Arial"/>
          <w:lang w:val="en-US"/>
        </w:rPr>
        <w:t>CAF currently has two institutional mechanisms through which individuals or communities can file a complaint with the Institution: The Integrity and Ethics Committee and the Prohibited Practices Prevention Committee, which can be accessed through the following links:</w:t>
      </w:r>
    </w:p>
    <w:p w14:paraId="22F9AB15" w14:textId="77777777" w:rsidR="00BB190B" w:rsidRPr="00597D64" w:rsidRDefault="00BB190B" w:rsidP="00BB190B">
      <w:pPr>
        <w:spacing w:after="0" w:line="240" w:lineRule="auto"/>
        <w:rPr>
          <w:rFonts w:cs="Arial"/>
          <w:lang w:val="en-US"/>
        </w:rPr>
      </w:pPr>
    </w:p>
    <w:p w14:paraId="77EE0EDB" w14:textId="7E49B8D3" w:rsidR="00BB190B" w:rsidRPr="00597D64" w:rsidRDefault="00203008" w:rsidP="00BB190B">
      <w:pPr>
        <w:spacing w:after="0" w:line="240" w:lineRule="auto"/>
        <w:rPr>
          <w:rStyle w:val="Hipervnculo"/>
          <w:rFonts w:cs="Arial"/>
          <w:i/>
          <w:iCs/>
          <w:lang w:val="es-PE"/>
        </w:rPr>
      </w:pPr>
      <w:hyperlink r:id="rId33" w:history="1">
        <w:r w:rsidR="00FD4424" w:rsidRPr="00597D64">
          <w:rPr>
            <w:rStyle w:val="Hipervnculo"/>
            <w:rFonts w:cs="Arial"/>
            <w:i/>
            <w:iCs/>
            <w:lang w:val="es-PE"/>
          </w:rPr>
          <w:t>Comité de Integridad y Ética</w:t>
        </w:r>
      </w:hyperlink>
    </w:p>
    <w:p w14:paraId="5448E2C4" w14:textId="250145D6" w:rsidR="00FD4424" w:rsidRPr="00597D64" w:rsidRDefault="00203008" w:rsidP="00BB190B">
      <w:pPr>
        <w:spacing w:after="0" w:line="240" w:lineRule="auto"/>
        <w:rPr>
          <w:rFonts w:cs="Arial"/>
          <w:i/>
          <w:iCs/>
          <w:lang w:val="es-UY"/>
        </w:rPr>
      </w:pPr>
      <w:hyperlink r:id="rId34" w:history="1">
        <w:r w:rsidR="00FD4424" w:rsidRPr="00597D64">
          <w:rPr>
            <w:rStyle w:val="Hipervnculo"/>
            <w:rFonts w:cs="Arial"/>
            <w:i/>
            <w:iCs/>
            <w:lang w:val="es-PE"/>
          </w:rPr>
          <w:t>Comité de Prevención de Prácticas Prohibidas</w:t>
        </w:r>
      </w:hyperlink>
    </w:p>
    <w:p w14:paraId="1489A96E" w14:textId="77777777" w:rsidR="00FD4424" w:rsidRPr="00597D64" w:rsidRDefault="00FD4424" w:rsidP="00BB190B">
      <w:pPr>
        <w:spacing w:after="0" w:line="240" w:lineRule="auto"/>
        <w:rPr>
          <w:rFonts w:cs="Arial"/>
          <w:lang w:val="es-UY"/>
        </w:rPr>
      </w:pPr>
    </w:p>
    <w:p w14:paraId="02BCE67E" w14:textId="77777777" w:rsidR="00BB190B" w:rsidRPr="00597D64" w:rsidRDefault="00BB190B" w:rsidP="00BB190B">
      <w:pPr>
        <w:spacing w:after="0" w:line="240" w:lineRule="auto"/>
        <w:rPr>
          <w:rFonts w:cs="Arial"/>
          <w:lang w:val="en-US"/>
        </w:rPr>
      </w:pPr>
      <w:r w:rsidRPr="00597D64">
        <w:rPr>
          <w:rFonts w:cs="Arial"/>
          <w:lang w:val="en-US"/>
        </w:rPr>
        <w:t>An additional mechanism is available for filing complaints and grievances about projects financed by the Green Funds, specifically for projects financed by the GEF (Global Environmental Facility), which can be accessed through the following links:</w:t>
      </w:r>
    </w:p>
    <w:p w14:paraId="23E317DD" w14:textId="77777777" w:rsidR="00BB190B" w:rsidRPr="00597D64" w:rsidRDefault="00BB190B" w:rsidP="00BB190B">
      <w:pPr>
        <w:spacing w:after="0" w:line="240" w:lineRule="auto"/>
        <w:rPr>
          <w:rFonts w:cs="Arial"/>
          <w:lang w:val="en-US"/>
        </w:rPr>
      </w:pPr>
    </w:p>
    <w:p w14:paraId="59C94B46" w14:textId="7BB48B5B" w:rsidR="00961383" w:rsidRPr="00597D64" w:rsidRDefault="00203008" w:rsidP="00E45BBC">
      <w:pPr>
        <w:spacing w:after="0" w:line="240" w:lineRule="auto"/>
        <w:rPr>
          <w:rStyle w:val="Hipervnculo"/>
          <w:rFonts w:cs="Arial"/>
          <w:i/>
          <w:lang w:val="en-US"/>
        </w:rPr>
      </w:pPr>
      <w:hyperlink r:id="rId35" w:history="1">
        <w:proofErr w:type="spellStart"/>
        <w:r w:rsidR="00FD4424" w:rsidRPr="00597D64">
          <w:rPr>
            <w:rStyle w:val="Hipervnculo"/>
            <w:rFonts w:cs="Arial"/>
            <w:i/>
            <w:iCs/>
            <w:lang w:val="en-US"/>
          </w:rPr>
          <w:t>Buzón</w:t>
        </w:r>
      </w:hyperlink>
      <w:hyperlink r:id="rId36" w:history="1">
        <w:r w:rsidR="00FD4424" w:rsidRPr="00597D64">
          <w:rPr>
            <w:rStyle w:val="Hipervnculo"/>
            <w:rFonts w:cs="Arial"/>
            <w:i/>
            <w:iCs/>
            <w:lang w:val="en-US"/>
          </w:rPr>
          <w:t>CAF</w:t>
        </w:r>
        <w:proofErr w:type="spellEnd"/>
        <w:r w:rsidR="00FD4424" w:rsidRPr="00597D64">
          <w:rPr>
            <w:rStyle w:val="Hipervnculo"/>
            <w:rFonts w:cs="Arial"/>
            <w:i/>
            <w:iCs/>
            <w:lang w:val="en-US"/>
          </w:rPr>
          <w:t>-GEF Accountability Mechanism</w:t>
        </w:r>
      </w:hyperlink>
    </w:p>
    <w:p w14:paraId="40E4817E" w14:textId="1948A7C0" w:rsidR="00FD4424" w:rsidRPr="00597D64" w:rsidRDefault="00203008" w:rsidP="00E45BBC">
      <w:pPr>
        <w:spacing w:after="0" w:line="240" w:lineRule="auto"/>
        <w:rPr>
          <w:rStyle w:val="Hipervnculo"/>
          <w:rFonts w:cs="Arial"/>
          <w:i/>
          <w:iCs/>
          <w:lang w:val="en-US"/>
        </w:rPr>
      </w:pPr>
      <w:hyperlink r:id="rId37" w:history="1">
        <w:r w:rsidR="00FD4424" w:rsidRPr="00597D64">
          <w:rPr>
            <w:rStyle w:val="Hipervnculo"/>
            <w:rFonts w:cs="Arial"/>
            <w:i/>
            <w:iCs/>
            <w:lang w:val="en-US"/>
          </w:rPr>
          <w:t>Document on Prevention of Gender Discrimination and Workplace Sexual Harassment in CAF-GEF Projects</w:t>
        </w:r>
      </w:hyperlink>
    </w:p>
    <w:p w14:paraId="52C3AD72" w14:textId="77777777" w:rsidR="00FD3726" w:rsidRPr="00FD4424" w:rsidRDefault="00FD3726" w:rsidP="00E45BBC">
      <w:pPr>
        <w:spacing w:after="0" w:line="240" w:lineRule="auto"/>
        <w:rPr>
          <w:rStyle w:val="Hipervnculo"/>
          <w:rFonts w:cs="Arial"/>
          <w:i/>
          <w:iCs/>
          <w:sz w:val="20"/>
          <w:szCs w:val="20"/>
          <w:lang w:val="en-US"/>
        </w:rPr>
      </w:pPr>
    </w:p>
    <w:p w14:paraId="0E6077BC" w14:textId="1BEB9FAB" w:rsidR="00823B0A" w:rsidRPr="002B4C2F" w:rsidRDefault="00823B0A" w:rsidP="00422E79">
      <w:pPr>
        <w:pStyle w:val="Ttulo1"/>
        <w:numPr>
          <w:ilvl w:val="2"/>
          <w:numId w:val="77"/>
        </w:numPr>
        <w:spacing w:before="0" w:after="0" w:line="240" w:lineRule="auto"/>
      </w:pPr>
      <w:bookmarkStart w:id="103" w:name="_Toc114152221"/>
      <w:r w:rsidRPr="002B4C2F">
        <w:t xml:space="preserve">Indigenous peoples, local </w:t>
      </w:r>
      <w:r w:rsidR="00BD1E90" w:rsidRPr="002B4C2F">
        <w:t>communities,</w:t>
      </w:r>
      <w:r w:rsidRPr="002B4C2F">
        <w:t xml:space="preserve"> and ethnic diversity:</w:t>
      </w:r>
      <w:bookmarkEnd w:id="103"/>
      <w:r w:rsidRPr="002B4C2F">
        <w:t xml:space="preserve"> </w:t>
      </w:r>
    </w:p>
    <w:p w14:paraId="19FB6984" w14:textId="77777777" w:rsidR="00406472" w:rsidRPr="002B4C2F" w:rsidRDefault="00406472" w:rsidP="00E45BBC">
      <w:pPr>
        <w:spacing w:after="0" w:line="240" w:lineRule="auto"/>
      </w:pPr>
    </w:p>
    <w:p w14:paraId="2DEB9F36" w14:textId="238ED1B9" w:rsidR="008B61FB" w:rsidRPr="00102605" w:rsidRDefault="00823B0A" w:rsidP="00E45BBC">
      <w:pPr>
        <w:spacing w:after="0" w:line="240" w:lineRule="auto"/>
        <w:rPr>
          <w:rFonts w:eastAsiaTheme="majorEastAsia" w:cstheme="majorBidi"/>
          <w:b/>
          <w:sz w:val="24"/>
          <w:szCs w:val="32"/>
        </w:rPr>
      </w:pPr>
      <w:r w:rsidRPr="002B4C2F">
        <w:t>Considering the different conditions and characteristics of ethnic groups, a differential approach is necessary in the actions and interactions developed with and for them, so that</w:t>
      </w:r>
      <w:r w:rsidRPr="00823B0A">
        <w:t xml:space="preserve"> access to rights, goods and services is relevant and responds to their distinctive features.  Within this framework, the socialization of the operation in culturally appropriate terms will be defined, as well as the definition of affirmative actions for the enhancement of benefits and finally, the establishment of specific measures for the enhancement of benefits for the ethnic groups in question.</w:t>
      </w:r>
      <w:r>
        <w:t xml:space="preserve"> </w:t>
      </w:r>
      <w:r w:rsidR="00972407">
        <w:t xml:space="preserve">The activation tool and the detail of the safeguard </w:t>
      </w:r>
      <w:r w:rsidR="007926F2">
        <w:t xml:space="preserve">S06 </w:t>
      </w:r>
      <w:r w:rsidR="00972407">
        <w:t xml:space="preserve">is included in the </w:t>
      </w:r>
      <w:r w:rsidR="00972407" w:rsidRPr="00860468">
        <w:t xml:space="preserve">Annex </w:t>
      </w:r>
      <w:r w:rsidR="00860468">
        <w:t>6</w:t>
      </w:r>
      <w:r w:rsidR="00972407">
        <w:t>.</w:t>
      </w:r>
      <w:bookmarkStart w:id="104" w:name="_Toc67651982"/>
      <w:r w:rsidR="008B61FB" w:rsidRPr="00102605">
        <w:br w:type="page"/>
      </w:r>
    </w:p>
    <w:p w14:paraId="0EA5408F" w14:textId="2B015E2A" w:rsidR="00961383" w:rsidRPr="00102605" w:rsidRDefault="00961383" w:rsidP="00406472">
      <w:pPr>
        <w:pStyle w:val="Ttulo1"/>
        <w:numPr>
          <w:ilvl w:val="0"/>
          <w:numId w:val="53"/>
        </w:numPr>
        <w:spacing w:before="0" w:after="0" w:line="240" w:lineRule="auto"/>
      </w:pPr>
      <w:bookmarkStart w:id="105" w:name="_Toc114152222"/>
      <w:r w:rsidRPr="00102605">
        <w:t>References</w:t>
      </w:r>
      <w:bookmarkEnd w:id="104"/>
      <w:bookmarkEnd w:id="105"/>
    </w:p>
    <w:p w14:paraId="3195E01F" w14:textId="77777777" w:rsidR="00406472" w:rsidRDefault="00406472" w:rsidP="00406472">
      <w:pPr>
        <w:spacing w:after="0" w:line="240" w:lineRule="auto"/>
        <w:rPr>
          <w:lang w:val="es-AR"/>
        </w:rPr>
      </w:pPr>
    </w:p>
    <w:p w14:paraId="54A1F9BE" w14:textId="15AD39FA" w:rsidR="00882C85" w:rsidRPr="00EF47DA" w:rsidRDefault="00882C85" w:rsidP="00406472">
      <w:pPr>
        <w:spacing w:after="0" w:line="240" w:lineRule="auto"/>
        <w:rPr>
          <w:lang w:val="es-AR"/>
        </w:rPr>
      </w:pPr>
      <w:r w:rsidRPr="00EF47DA">
        <w:rPr>
          <w:lang w:val="es-AR"/>
        </w:rPr>
        <w:t xml:space="preserve">CAF 2016a. Salvaguardas ambientales y sociales. </w:t>
      </w:r>
      <w:proofErr w:type="spellStart"/>
      <w:r w:rsidRPr="00EF47DA">
        <w:rPr>
          <w:lang w:val="es-AR"/>
        </w:rPr>
        <w:t>Available</w:t>
      </w:r>
      <w:proofErr w:type="spellEnd"/>
      <w:r w:rsidRPr="00EF47DA">
        <w:rPr>
          <w:lang w:val="es-AR"/>
        </w:rPr>
        <w:t xml:space="preserve"> online: </w:t>
      </w:r>
      <w:hyperlink r:id="rId38">
        <w:r w:rsidRPr="00EF47DA">
          <w:rPr>
            <w:color w:val="8E57B6"/>
            <w:u w:val="single" w:color="8E57B6"/>
            <w:lang w:val="es-AR"/>
          </w:rPr>
          <w:t>https://www.caf.com/me-</w:t>
        </w:r>
      </w:hyperlink>
      <w:r w:rsidRPr="00EF47DA">
        <w:rPr>
          <w:color w:val="8E57B6"/>
          <w:lang w:val="es-AR"/>
        </w:rPr>
        <w:t xml:space="preserve"> </w:t>
      </w:r>
      <w:hyperlink r:id="rId39">
        <w:proofErr w:type="spellStart"/>
        <w:r w:rsidRPr="00EF47DA">
          <w:rPr>
            <w:color w:val="8E57B6"/>
            <w:u w:val="single" w:color="8E57B6"/>
            <w:lang w:val="es-AR"/>
          </w:rPr>
          <w:t>dia</w:t>
        </w:r>
        <w:proofErr w:type="spellEnd"/>
        <w:r w:rsidRPr="00EF47DA">
          <w:rPr>
            <w:color w:val="8E57B6"/>
            <w:u w:val="single" w:color="8E57B6"/>
            <w:lang w:val="es-AR"/>
          </w:rPr>
          <w:t>/5614351/salvaguardas%20ambientales%20y%20sociales%20caf.pdf</w:t>
        </w:r>
      </w:hyperlink>
    </w:p>
    <w:p w14:paraId="3D168858" w14:textId="77777777" w:rsidR="00406472" w:rsidRDefault="00406472" w:rsidP="00406472">
      <w:pPr>
        <w:spacing w:after="0" w:line="240" w:lineRule="auto"/>
        <w:rPr>
          <w:lang w:val="es-AR"/>
        </w:rPr>
      </w:pPr>
    </w:p>
    <w:p w14:paraId="64F6DC64" w14:textId="5DC3D6DB" w:rsidR="00882C85" w:rsidRPr="00EF47DA" w:rsidRDefault="00882C85" w:rsidP="00406472">
      <w:pPr>
        <w:spacing w:after="0" w:line="240" w:lineRule="auto"/>
        <w:rPr>
          <w:lang w:val="es-AR"/>
        </w:rPr>
      </w:pPr>
      <w:r w:rsidRPr="00EF47DA">
        <w:rPr>
          <w:lang w:val="es-AR"/>
        </w:rPr>
        <w:t>CAF 2016b. Manual de los procesos de evaluación y seguimiento ambiental y social de operaciones de crédito. Dirección corporativa de ambiente y cambio climático. Versión 2. MN/DACC – 041.</w:t>
      </w:r>
    </w:p>
    <w:p w14:paraId="60F070CD" w14:textId="77777777" w:rsidR="00406472" w:rsidRPr="00860468" w:rsidRDefault="00406472" w:rsidP="00406472">
      <w:pPr>
        <w:spacing w:after="0" w:line="240" w:lineRule="auto"/>
        <w:rPr>
          <w:lang w:val="es-AR"/>
        </w:rPr>
      </w:pPr>
    </w:p>
    <w:p w14:paraId="4679CF01" w14:textId="24796A51" w:rsidR="00961383" w:rsidRPr="00102605" w:rsidRDefault="00961383" w:rsidP="00406472">
      <w:pPr>
        <w:spacing w:after="0" w:line="240" w:lineRule="auto"/>
      </w:pPr>
      <w:r w:rsidRPr="00102605">
        <w:t xml:space="preserve">Directive 2000/53/EC. (2000). </w:t>
      </w:r>
      <w:r w:rsidRPr="00102605">
        <w:rPr>
          <w:i/>
          <w:iCs/>
        </w:rPr>
        <w:t>Directive 2000/53/EC of the European Parliament and of the Council on end-of life vehicles</w:t>
      </w:r>
      <w:r w:rsidRPr="00102605">
        <w:t xml:space="preserve">. European Parliament, Council of the European Union. Retrieved from </w:t>
      </w:r>
      <w:hyperlink r:id="rId40" w:history="1">
        <w:r w:rsidR="00882C85" w:rsidRPr="00102605">
          <w:rPr>
            <w:rStyle w:val="Hipervnculo"/>
          </w:rPr>
          <w:t>https://eur-lex.europa.eu/legal-content/EN/ALL/?uri=CELEX%3A32000L0053</w:t>
        </w:r>
      </w:hyperlink>
      <w:r w:rsidR="00882C85" w:rsidRPr="00102605">
        <w:t xml:space="preserve"> </w:t>
      </w:r>
    </w:p>
    <w:p w14:paraId="2543D85E" w14:textId="77777777" w:rsidR="00406472" w:rsidRDefault="00406472" w:rsidP="00406472">
      <w:pPr>
        <w:spacing w:after="0" w:line="240" w:lineRule="auto"/>
      </w:pPr>
    </w:p>
    <w:p w14:paraId="2AF4A1D6" w14:textId="03245E57" w:rsidR="00C963D5" w:rsidRPr="00102605" w:rsidRDefault="00C963D5" w:rsidP="00406472">
      <w:pPr>
        <w:spacing w:after="0" w:line="240" w:lineRule="auto"/>
      </w:pPr>
      <w:r w:rsidRPr="00102605">
        <w:t>European Commission, (2020), Regulation of the European Parliament and of the Council concerning batteries and waste batteries, Retrieved from eur-lex.europa.eu/</w:t>
      </w:r>
      <w:proofErr w:type="gramStart"/>
      <w:r w:rsidRPr="00102605">
        <w:t>legal-content</w:t>
      </w:r>
      <w:proofErr w:type="gramEnd"/>
      <w:r w:rsidRPr="00102605">
        <w:t>/EN/TXT/?</w:t>
      </w:r>
      <w:proofErr w:type="spellStart"/>
      <w:r w:rsidRPr="00102605">
        <w:t>uri</w:t>
      </w:r>
      <w:proofErr w:type="spellEnd"/>
      <w:r w:rsidRPr="00102605">
        <w:t xml:space="preserve">=CELEX:52020PC0798 </w:t>
      </w:r>
    </w:p>
    <w:p w14:paraId="731E49FF" w14:textId="77777777" w:rsidR="00406472" w:rsidRDefault="00406472" w:rsidP="00406472">
      <w:pPr>
        <w:spacing w:after="0" w:line="240" w:lineRule="auto"/>
      </w:pPr>
    </w:p>
    <w:p w14:paraId="04C1250F" w14:textId="36D060CC" w:rsidR="00C963D5" w:rsidRPr="00102605" w:rsidRDefault="00C963D5" w:rsidP="00406472">
      <w:pPr>
        <w:spacing w:after="0" w:line="240" w:lineRule="auto"/>
      </w:pPr>
      <w:proofErr w:type="spellStart"/>
      <w:r w:rsidRPr="00102605">
        <w:t>Hinico</w:t>
      </w:r>
      <w:proofErr w:type="spellEnd"/>
      <w:r w:rsidRPr="00102605">
        <w:t xml:space="preserve"> / the </w:t>
      </w:r>
      <w:proofErr w:type="spellStart"/>
      <w:r w:rsidRPr="00102605">
        <w:t>greenwerk</w:t>
      </w:r>
      <w:proofErr w:type="spellEnd"/>
      <w:r w:rsidRPr="00102605">
        <w:t xml:space="preserve">. (2021): Feasibility Study, Report T5: Estimated Impacts of the </w:t>
      </w:r>
      <w:r w:rsidR="00DD7442" w:rsidRPr="00102605">
        <w:t>Program</w:t>
      </w:r>
    </w:p>
    <w:p w14:paraId="0351164C" w14:textId="10414435" w:rsidR="00961383" w:rsidRPr="00102605" w:rsidRDefault="00961383" w:rsidP="00406472">
      <w:pPr>
        <w:spacing w:after="0" w:line="240" w:lineRule="auto"/>
      </w:pPr>
      <w:r w:rsidRPr="00102605">
        <w:t xml:space="preserve">Jiao, D, N, (2021, March 10), Second-life Electric Vehicle Batteries 2020-2030, Retrieved from </w:t>
      </w:r>
      <w:hyperlink r:id="rId41" w:history="1">
        <w:r w:rsidR="00882C85" w:rsidRPr="00102605">
          <w:rPr>
            <w:rStyle w:val="Hipervnculo"/>
          </w:rPr>
          <w:t>www.idtechex.com/en/research-report/second-life-electric-vehicle-batteries-2020-2030/681</w:t>
        </w:r>
      </w:hyperlink>
      <w:r w:rsidR="00882C85" w:rsidRPr="00102605">
        <w:t xml:space="preserve"> </w:t>
      </w:r>
    </w:p>
    <w:p w14:paraId="4CD6D482" w14:textId="77777777" w:rsidR="00406472" w:rsidRDefault="00406472" w:rsidP="00406472">
      <w:pPr>
        <w:spacing w:after="0" w:line="240" w:lineRule="auto"/>
      </w:pPr>
    </w:p>
    <w:p w14:paraId="6273B89F" w14:textId="6C09BE4F" w:rsidR="00C963D5" w:rsidRPr="00102605" w:rsidRDefault="00C963D5" w:rsidP="00406472">
      <w:pPr>
        <w:spacing w:after="0" w:line="240" w:lineRule="auto"/>
      </w:pPr>
      <w:r w:rsidRPr="00102605">
        <w:t xml:space="preserve">McKinsey, 2019. Engel, H., </w:t>
      </w:r>
      <w:proofErr w:type="spellStart"/>
      <w:r w:rsidRPr="00102605">
        <w:t>Hertzke</w:t>
      </w:r>
      <w:proofErr w:type="spellEnd"/>
      <w:r w:rsidRPr="00102605">
        <w:t xml:space="preserve">, P., &amp; </w:t>
      </w:r>
      <w:proofErr w:type="spellStart"/>
      <w:r w:rsidRPr="00102605">
        <w:t>Siccardo</w:t>
      </w:r>
      <w:proofErr w:type="spellEnd"/>
      <w:r w:rsidRPr="00102605">
        <w:t xml:space="preserve">, G. Second-life EV batteries: The newest value pool in energy storage. McKinsey </w:t>
      </w:r>
      <w:proofErr w:type="spellStart"/>
      <w:r w:rsidRPr="00102605">
        <w:t>Center</w:t>
      </w:r>
      <w:proofErr w:type="spellEnd"/>
      <w:r w:rsidRPr="00102605">
        <w:t xml:space="preserve"> for Future Mobility.</w:t>
      </w:r>
    </w:p>
    <w:p w14:paraId="602C155C" w14:textId="77777777" w:rsidR="00406472" w:rsidRDefault="00406472" w:rsidP="00406472">
      <w:pPr>
        <w:spacing w:after="0" w:line="240" w:lineRule="auto"/>
      </w:pPr>
    </w:p>
    <w:p w14:paraId="6534806B" w14:textId="68A36A26" w:rsidR="00961383" w:rsidRPr="00102605" w:rsidRDefault="00961383" w:rsidP="00406472">
      <w:pPr>
        <w:spacing w:after="0" w:line="240" w:lineRule="auto"/>
      </w:pPr>
      <w:r w:rsidRPr="00102605">
        <w:t xml:space="preserve">Reappeal on Directive 2006/66/EC. (2020). </w:t>
      </w:r>
      <w:r w:rsidRPr="00102605">
        <w:rPr>
          <w:i/>
          <w:iCs/>
        </w:rPr>
        <w:t>Regulation of the European Parliament and of the Council concerning batteries and waste batteries</w:t>
      </w:r>
      <w:r w:rsidRPr="00102605">
        <w:t>. European Parliament, Council of the European Union. Retrieved from eur-lex.europa.eu/</w:t>
      </w:r>
      <w:proofErr w:type="gramStart"/>
      <w:r w:rsidRPr="00102605">
        <w:t>legal-content</w:t>
      </w:r>
      <w:proofErr w:type="gramEnd"/>
      <w:r w:rsidRPr="00102605">
        <w:t>/EN/TXT/?</w:t>
      </w:r>
      <w:proofErr w:type="spellStart"/>
      <w:r w:rsidRPr="00102605">
        <w:t>uri</w:t>
      </w:r>
      <w:proofErr w:type="spellEnd"/>
      <w:r w:rsidRPr="00102605">
        <w:t>=CELEX:52020PC0798</w:t>
      </w:r>
      <w:r w:rsidR="00882C85" w:rsidRPr="00102605">
        <w:t xml:space="preserve"> </w:t>
      </w:r>
    </w:p>
    <w:p w14:paraId="23EDAF2A" w14:textId="77777777" w:rsidR="00406472" w:rsidRDefault="00406472" w:rsidP="00406472">
      <w:pPr>
        <w:spacing w:after="0" w:line="240" w:lineRule="auto"/>
      </w:pPr>
    </w:p>
    <w:p w14:paraId="7CB7C8C8" w14:textId="163C574C" w:rsidR="00961383" w:rsidRPr="00781B33" w:rsidRDefault="00961383" w:rsidP="00406472">
      <w:pPr>
        <w:spacing w:after="0" w:line="240" w:lineRule="auto"/>
        <w:rPr>
          <w:lang w:val="de-DE"/>
        </w:rPr>
      </w:pPr>
      <w:r w:rsidRPr="00781B33">
        <w:rPr>
          <w:lang w:val="de-DE"/>
        </w:rPr>
        <w:t>Rößiger, M, (2018), Stromspeicher: Vattenfall baut mehr BMW-Batterien ein, bizz energy Mediengesellschaft GmbH, Retrieved from bizz energy,com/stromspeicher_vattenfall_baut_mehr_bmw_batterien_ein</w:t>
      </w:r>
      <w:r w:rsidR="00882C85" w:rsidRPr="00781B33">
        <w:rPr>
          <w:lang w:val="de-DE"/>
        </w:rPr>
        <w:t xml:space="preserve"> </w:t>
      </w:r>
    </w:p>
    <w:p w14:paraId="079F7C6A" w14:textId="77777777" w:rsidR="00406472" w:rsidRPr="00781B33" w:rsidRDefault="00406472" w:rsidP="00406472">
      <w:pPr>
        <w:spacing w:after="0" w:line="240" w:lineRule="auto"/>
        <w:rPr>
          <w:lang w:val="de-DE"/>
        </w:rPr>
      </w:pPr>
    </w:p>
    <w:p w14:paraId="2C8B354F" w14:textId="7065ACB5" w:rsidR="00961383" w:rsidRPr="00102605" w:rsidRDefault="00961383" w:rsidP="00406472">
      <w:pPr>
        <w:spacing w:after="0" w:line="240" w:lineRule="auto"/>
      </w:pPr>
      <w:proofErr w:type="spellStart"/>
      <w:r w:rsidRPr="00102605">
        <w:t>Stewar</w:t>
      </w:r>
      <w:proofErr w:type="spellEnd"/>
      <w:r w:rsidRPr="00102605">
        <w:t>, D, (2019), Economics and Challenges of Li-Ion Battery Recycling from End-of-Life Vehicles, Science Direct.</w:t>
      </w:r>
    </w:p>
    <w:p w14:paraId="7388EB51" w14:textId="77777777" w:rsidR="00961383" w:rsidRPr="00102605" w:rsidRDefault="00961383" w:rsidP="00406472">
      <w:pPr>
        <w:spacing w:after="0" w:line="240" w:lineRule="auto"/>
      </w:pPr>
    </w:p>
    <w:p w14:paraId="66B87789" w14:textId="77777777" w:rsidR="00961383" w:rsidRPr="00102605" w:rsidRDefault="00961383" w:rsidP="00406472">
      <w:pPr>
        <w:spacing w:after="0" w:line="240" w:lineRule="auto"/>
      </w:pPr>
    </w:p>
    <w:p w14:paraId="4DCEBF60" w14:textId="77777777" w:rsidR="00961383" w:rsidRPr="00102605" w:rsidRDefault="00961383" w:rsidP="00406472">
      <w:pPr>
        <w:spacing w:after="0" w:line="240" w:lineRule="auto"/>
      </w:pPr>
    </w:p>
    <w:p w14:paraId="707CCD70" w14:textId="77777777" w:rsidR="008B61FB" w:rsidRPr="00102605" w:rsidRDefault="008B61FB" w:rsidP="00406472">
      <w:pPr>
        <w:spacing w:after="0" w:line="240" w:lineRule="auto"/>
        <w:jc w:val="left"/>
        <w:rPr>
          <w:rFonts w:eastAsiaTheme="majorEastAsia" w:cstheme="majorBidi"/>
          <w:b/>
          <w:sz w:val="24"/>
          <w:szCs w:val="32"/>
        </w:rPr>
      </w:pPr>
      <w:bookmarkStart w:id="106" w:name="_Toc67651983"/>
      <w:r w:rsidRPr="00102605">
        <w:br w:type="page"/>
      </w:r>
    </w:p>
    <w:p w14:paraId="0F90A257" w14:textId="1CFD1597" w:rsidR="00961383" w:rsidRDefault="00961383" w:rsidP="0045715B">
      <w:pPr>
        <w:pStyle w:val="Ttulo1"/>
        <w:numPr>
          <w:ilvl w:val="0"/>
          <w:numId w:val="53"/>
        </w:numPr>
        <w:spacing w:before="0" w:after="0" w:line="240" w:lineRule="auto"/>
      </w:pPr>
      <w:bookmarkStart w:id="107" w:name="_Toc114152223"/>
      <w:r w:rsidRPr="00102605">
        <w:t>Annexes</w:t>
      </w:r>
      <w:bookmarkEnd w:id="106"/>
      <w:bookmarkEnd w:id="107"/>
    </w:p>
    <w:p w14:paraId="0A5C879E" w14:textId="77777777" w:rsidR="0045715B" w:rsidRDefault="0045715B" w:rsidP="004638F2">
      <w:bookmarkStart w:id="108" w:name="_Toc67651984"/>
    </w:p>
    <w:p w14:paraId="247588BC" w14:textId="15469D9F" w:rsidR="00961383" w:rsidRPr="0045715B" w:rsidRDefault="00961383" w:rsidP="000B0234">
      <w:pPr>
        <w:pStyle w:val="Ttulo1"/>
        <w:spacing w:before="0" w:after="0" w:line="240" w:lineRule="auto"/>
        <w:rPr>
          <w:rFonts w:cs="Arial"/>
        </w:rPr>
      </w:pPr>
      <w:bookmarkStart w:id="109" w:name="_Toc114152224"/>
      <w:r w:rsidRPr="0045715B">
        <w:rPr>
          <w:rFonts w:cs="Arial"/>
        </w:rPr>
        <w:t xml:space="preserve">Annex 1 – </w:t>
      </w:r>
      <w:r w:rsidR="00C637B4" w:rsidRPr="0045715B">
        <w:rPr>
          <w:rFonts w:cs="Arial"/>
        </w:rPr>
        <w:t xml:space="preserve">CAF´s </w:t>
      </w:r>
      <w:r w:rsidRPr="0045715B">
        <w:rPr>
          <w:rFonts w:cs="Arial"/>
        </w:rPr>
        <w:t>Exclusion list</w:t>
      </w:r>
      <w:bookmarkEnd w:id="108"/>
      <w:bookmarkEnd w:id="109"/>
    </w:p>
    <w:p w14:paraId="5A502D8B" w14:textId="77777777" w:rsidR="0045715B" w:rsidRDefault="0045715B" w:rsidP="0045715B">
      <w:pPr>
        <w:spacing w:after="0" w:line="240" w:lineRule="auto"/>
      </w:pPr>
    </w:p>
    <w:p w14:paraId="4DD95E45" w14:textId="5CAFAB6C" w:rsidR="0043278E" w:rsidRPr="00102605" w:rsidRDefault="0043278E" w:rsidP="0045715B">
      <w:pPr>
        <w:spacing w:after="0" w:line="240" w:lineRule="auto"/>
      </w:pPr>
      <w:r w:rsidRPr="00102605">
        <w:t>CAF does not finance projects with the following characteristics:</w:t>
      </w:r>
    </w:p>
    <w:p w14:paraId="44B68B50" w14:textId="400468B8" w:rsidR="0043278E" w:rsidRPr="00102605" w:rsidRDefault="0043278E" w:rsidP="0045715B">
      <w:pPr>
        <w:pStyle w:val="Prrafodelista"/>
        <w:numPr>
          <w:ilvl w:val="0"/>
          <w:numId w:val="44"/>
        </w:numPr>
        <w:spacing w:after="0" w:line="240" w:lineRule="auto"/>
      </w:pPr>
      <w:r w:rsidRPr="00102605">
        <w:t>Production or trade of any product or activity considered illegal under the laws</w:t>
      </w:r>
      <w:r w:rsidR="00035EC0" w:rsidRPr="00102605">
        <w:t xml:space="preserve"> </w:t>
      </w:r>
      <w:r w:rsidRPr="00102605">
        <w:t>host country or international regulations or conventions and agreements, or subject to</w:t>
      </w:r>
      <w:r w:rsidR="00035EC0" w:rsidRPr="00102605">
        <w:t xml:space="preserve"> </w:t>
      </w:r>
      <w:r w:rsidRPr="00102605">
        <w:t>international bans, such as pharmaceuticals, pesticides / herbicides,</w:t>
      </w:r>
      <w:r w:rsidR="00035EC0" w:rsidRPr="00102605">
        <w:t xml:space="preserve"> </w:t>
      </w:r>
      <w:r w:rsidRPr="00102605">
        <w:t xml:space="preserve">ozone depleting substances, PCBs, </w:t>
      </w:r>
      <w:proofErr w:type="gramStart"/>
      <w:r w:rsidRPr="00102605">
        <w:t>fauna</w:t>
      </w:r>
      <w:proofErr w:type="gramEnd"/>
      <w:r w:rsidRPr="00102605">
        <w:t xml:space="preserve"> or products regulated by CITES.</w:t>
      </w:r>
    </w:p>
    <w:p w14:paraId="2A0B4917" w14:textId="53372AD8" w:rsidR="0043278E" w:rsidRPr="00102605" w:rsidRDefault="0043278E" w:rsidP="0045715B">
      <w:pPr>
        <w:pStyle w:val="Prrafodelista"/>
        <w:numPr>
          <w:ilvl w:val="0"/>
          <w:numId w:val="44"/>
        </w:numPr>
        <w:spacing w:after="0" w:line="240" w:lineRule="auto"/>
      </w:pPr>
      <w:r w:rsidRPr="00102605">
        <w:t>Production or trade in arms and ammunition.</w:t>
      </w:r>
    </w:p>
    <w:p w14:paraId="0DFFC6B5" w14:textId="16E5CAF4" w:rsidR="0043278E" w:rsidRPr="00102605" w:rsidRDefault="0043278E" w:rsidP="0045715B">
      <w:pPr>
        <w:pStyle w:val="Prrafodelista"/>
        <w:numPr>
          <w:ilvl w:val="0"/>
          <w:numId w:val="44"/>
        </w:numPr>
        <w:spacing w:after="0" w:line="240" w:lineRule="auto"/>
      </w:pPr>
      <w:r w:rsidRPr="00102605">
        <w:t>Production or trade of alcoholic beverages (excluding beer and wine).</w:t>
      </w:r>
    </w:p>
    <w:p w14:paraId="2876CEF1" w14:textId="258C4CC1" w:rsidR="0043278E" w:rsidRPr="00102605" w:rsidRDefault="0043278E" w:rsidP="0045715B">
      <w:pPr>
        <w:pStyle w:val="Prrafodelista"/>
        <w:numPr>
          <w:ilvl w:val="0"/>
          <w:numId w:val="44"/>
        </w:numPr>
        <w:spacing w:after="0" w:line="240" w:lineRule="auto"/>
      </w:pPr>
      <w:r w:rsidRPr="00102605">
        <w:t>Tobacco production or trade.</w:t>
      </w:r>
    </w:p>
    <w:p w14:paraId="70EDCE70" w14:textId="6C68D735" w:rsidR="0043278E" w:rsidRPr="00102605" w:rsidRDefault="0043278E" w:rsidP="0045715B">
      <w:pPr>
        <w:pStyle w:val="Prrafodelista"/>
        <w:numPr>
          <w:ilvl w:val="0"/>
          <w:numId w:val="44"/>
        </w:numPr>
        <w:spacing w:after="0" w:line="240" w:lineRule="auto"/>
      </w:pPr>
      <w:r w:rsidRPr="00102605">
        <w:t xml:space="preserve">Gambling games, </w:t>
      </w:r>
      <w:proofErr w:type="gramStart"/>
      <w:r w:rsidRPr="00102605">
        <w:t>casinos</w:t>
      </w:r>
      <w:proofErr w:type="gramEnd"/>
      <w:r w:rsidRPr="00102605">
        <w:t xml:space="preserve"> and equivalent companies.</w:t>
      </w:r>
    </w:p>
    <w:p w14:paraId="7AE0C177" w14:textId="04A3975B" w:rsidR="0043278E" w:rsidRPr="00102605" w:rsidRDefault="0043278E" w:rsidP="0045715B">
      <w:pPr>
        <w:pStyle w:val="Prrafodelista"/>
        <w:numPr>
          <w:ilvl w:val="0"/>
          <w:numId w:val="44"/>
        </w:numPr>
        <w:spacing w:after="0" w:line="240" w:lineRule="auto"/>
      </w:pPr>
      <w:r w:rsidRPr="00102605">
        <w:t>Production or trade of radioactive materials. This does not apply to the purchase of</w:t>
      </w:r>
      <w:r w:rsidR="00035EC0" w:rsidRPr="00102605">
        <w:t xml:space="preserve"> </w:t>
      </w:r>
      <w:r w:rsidRPr="00102605">
        <w:t>medical equipment, quality control equipment (measurement) and any equipment in which</w:t>
      </w:r>
      <w:r w:rsidR="00035EC0" w:rsidRPr="00102605">
        <w:t xml:space="preserve"> </w:t>
      </w:r>
      <w:r w:rsidRPr="00102605">
        <w:t>CAF considers the radioactive source to be trivial and / or adequately protected.</w:t>
      </w:r>
    </w:p>
    <w:p w14:paraId="6E2E9D50" w14:textId="6DB9E517" w:rsidR="0043278E" w:rsidRPr="00102605" w:rsidRDefault="0043278E" w:rsidP="0045715B">
      <w:pPr>
        <w:pStyle w:val="Prrafodelista"/>
        <w:numPr>
          <w:ilvl w:val="0"/>
          <w:numId w:val="44"/>
        </w:numPr>
        <w:spacing w:after="0" w:line="240" w:lineRule="auto"/>
      </w:pPr>
      <w:r w:rsidRPr="00102605">
        <w:t xml:space="preserve">Production or trade of unbonded asbestos </w:t>
      </w:r>
      <w:proofErr w:type="spellStart"/>
      <w:r w:rsidRPr="00102605">
        <w:t>fiber</w:t>
      </w:r>
      <w:proofErr w:type="spellEnd"/>
      <w:r w:rsidRPr="00102605">
        <w:t>. This does not apply to purchase and use</w:t>
      </w:r>
      <w:r w:rsidR="00035EC0" w:rsidRPr="00102605">
        <w:t xml:space="preserve"> </w:t>
      </w:r>
      <w:r w:rsidRPr="00102605">
        <w:t xml:space="preserve">of asbestos cement </w:t>
      </w:r>
      <w:proofErr w:type="gramStart"/>
      <w:r w:rsidRPr="00102605">
        <w:t>sheets, when</w:t>
      </w:r>
      <w:proofErr w:type="gramEnd"/>
      <w:r w:rsidRPr="00102605">
        <w:t xml:space="preserve"> the asbestos content is less than 20%.</w:t>
      </w:r>
    </w:p>
    <w:p w14:paraId="4C0B4945" w14:textId="1023669E" w:rsidR="00961383" w:rsidRPr="00102605" w:rsidRDefault="0043278E" w:rsidP="0045715B">
      <w:pPr>
        <w:pStyle w:val="Prrafodelista"/>
        <w:numPr>
          <w:ilvl w:val="0"/>
          <w:numId w:val="44"/>
        </w:numPr>
        <w:spacing w:after="0" w:line="240" w:lineRule="auto"/>
      </w:pPr>
      <w:r w:rsidRPr="00102605">
        <w:t>Production and use of polychlorinated biphenyl compounds (PCB).</w:t>
      </w:r>
    </w:p>
    <w:p w14:paraId="2174AEA0" w14:textId="4E1F57B0" w:rsidR="0043278E" w:rsidRPr="00102605" w:rsidRDefault="0043278E" w:rsidP="0045715B">
      <w:pPr>
        <w:pStyle w:val="Prrafodelista"/>
        <w:numPr>
          <w:ilvl w:val="0"/>
          <w:numId w:val="44"/>
        </w:numPr>
        <w:spacing w:after="0" w:line="240" w:lineRule="auto"/>
      </w:pPr>
      <w:r w:rsidRPr="00102605">
        <w:t>Production of pharmaceutical products that are being phased out from the</w:t>
      </w:r>
      <w:r w:rsidR="00035EC0" w:rsidRPr="00102605">
        <w:t xml:space="preserve"> </w:t>
      </w:r>
      <w:r w:rsidRPr="00102605">
        <w:t>market or have been banned internationally, according to the publication of the United Nations</w:t>
      </w:r>
      <w:r w:rsidR="00035EC0" w:rsidRPr="00102605">
        <w:t xml:space="preserve"> </w:t>
      </w:r>
      <w:r w:rsidRPr="00102605">
        <w:t>on prohibited products. (Consolidated list of products whose consumption or</w:t>
      </w:r>
      <w:r w:rsidR="008610DD" w:rsidRPr="00102605">
        <w:t xml:space="preserve"> </w:t>
      </w:r>
      <w:r w:rsidRPr="00102605">
        <w:t>sale have been prohibited, withdrawn, subjected to severe restrictions or have not been</w:t>
      </w:r>
      <w:r w:rsidR="008610DD" w:rsidRPr="00102605">
        <w:t xml:space="preserve"> </w:t>
      </w:r>
      <w:r w:rsidRPr="00102605">
        <w:t>approved by governments, according to their latest version, 2001:</w:t>
      </w:r>
      <w:r w:rsidR="008610DD" w:rsidRPr="00102605">
        <w:t xml:space="preserve"> </w:t>
      </w:r>
      <w:r w:rsidRPr="00102605">
        <w:t>www.who.int/medicines/library/qsm/edm-qsm-2001-3/edm-qsm-2001_3.pdf).</w:t>
      </w:r>
    </w:p>
    <w:p w14:paraId="3F4CD5A1" w14:textId="5A0BC59B" w:rsidR="0043278E" w:rsidRPr="00102605" w:rsidRDefault="0043278E" w:rsidP="0045715B">
      <w:pPr>
        <w:pStyle w:val="Prrafodelista"/>
        <w:numPr>
          <w:ilvl w:val="0"/>
          <w:numId w:val="44"/>
        </w:numPr>
        <w:spacing w:after="0" w:line="240" w:lineRule="auto"/>
      </w:pPr>
      <w:r w:rsidRPr="00102605">
        <w:t>Pesticides or herbicides that are being phased out of the market or have been</w:t>
      </w:r>
      <w:r w:rsidR="008610DD" w:rsidRPr="00102605">
        <w:t xml:space="preserve"> </w:t>
      </w:r>
      <w:r w:rsidRPr="00102605">
        <w:t>internationally prohibited under the Rotterdam Convention (www.pic.int) and the</w:t>
      </w:r>
      <w:r w:rsidR="008610DD" w:rsidRPr="00102605">
        <w:t xml:space="preserve"> </w:t>
      </w:r>
      <w:r w:rsidRPr="00102605">
        <w:t>Stockholm Convention (www.pops.int).</w:t>
      </w:r>
    </w:p>
    <w:p w14:paraId="2D5DA72A" w14:textId="3941E07B" w:rsidR="0043278E" w:rsidRPr="00102605" w:rsidRDefault="0043278E" w:rsidP="0045715B">
      <w:pPr>
        <w:pStyle w:val="Prrafodelista"/>
        <w:numPr>
          <w:ilvl w:val="0"/>
          <w:numId w:val="44"/>
        </w:numPr>
        <w:spacing w:after="0" w:line="240" w:lineRule="auto"/>
      </w:pPr>
      <w:r w:rsidRPr="00102605">
        <w:t>Production of substances that are harmful to the ozone layer and are being withdrawn</w:t>
      </w:r>
      <w:r w:rsidR="008610DD" w:rsidRPr="00102605">
        <w:t xml:space="preserve"> </w:t>
      </w:r>
      <w:r w:rsidRPr="00102605">
        <w:t>progressively from the international market. These substances, known as ODS</w:t>
      </w:r>
      <w:r w:rsidR="008610DD" w:rsidRPr="00102605">
        <w:t xml:space="preserve"> </w:t>
      </w:r>
      <w:r w:rsidRPr="00102605">
        <w:t>(ODS), are regulated by the Montreal Protocol. On</w:t>
      </w:r>
      <w:r w:rsidR="008610DD" w:rsidRPr="00102605">
        <w:t xml:space="preserve"> </w:t>
      </w:r>
      <w:r w:rsidRPr="00102605">
        <w:t>he finds a list of these substances and the dates they were established as</w:t>
      </w:r>
      <w:r w:rsidR="008610DD" w:rsidRPr="00102605">
        <w:t xml:space="preserve"> </w:t>
      </w:r>
      <w:r w:rsidRPr="00102605">
        <w:t>objective for its reduction and withdrawal from the market. Some of the chemical compounds</w:t>
      </w:r>
      <w:r w:rsidR="008610DD" w:rsidRPr="00102605">
        <w:t xml:space="preserve"> </w:t>
      </w:r>
      <w:r w:rsidRPr="00102605">
        <w:t>regulated by the Montreal Protocol are aerosols, refrigerants, agents</w:t>
      </w:r>
      <w:r w:rsidR="008610DD" w:rsidRPr="00102605">
        <w:t xml:space="preserve"> </w:t>
      </w:r>
      <w:r w:rsidRPr="00102605">
        <w:t xml:space="preserve">foaming agents, </w:t>
      </w:r>
      <w:proofErr w:type="gramStart"/>
      <w:r w:rsidRPr="00102605">
        <w:t>solvents</w:t>
      </w:r>
      <w:proofErr w:type="gramEnd"/>
      <w:r w:rsidRPr="00102605">
        <w:t xml:space="preserve"> and fire protection agents</w:t>
      </w:r>
      <w:r w:rsidR="008610DD" w:rsidRPr="00102605">
        <w:t xml:space="preserve"> </w:t>
      </w:r>
      <w:r w:rsidRPr="00102605">
        <w:t>(</w:t>
      </w:r>
      <w:hyperlink r:id="rId42">
        <w:r w:rsidR="00035EC0" w:rsidRPr="51465454">
          <w:rPr>
            <w:rStyle w:val="Hipervnculo"/>
          </w:rPr>
          <w:t>www.unep.org/ozone/montreal.shtml</w:t>
        </w:r>
      </w:hyperlink>
      <w:r>
        <w:t>).</w:t>
      </w:r>
    </w:p>
    <w:p w14:paraId="36B633B3" w14:textId="77777777" w:rsidR="008610DD" w:rsidRPr="00102605" w:rsidRDefault="008610DD" w:rsidP="0045715B">
      <w:pPr>
        <w:pStyle w:val="Prrafodelista"/>
        <w:numPr>
          <w:ilvl w:val="0"/>
          <w:numId w:val="44"/>
        </w:numPr>
        <w:spacing w:after="0" w:line="240" w:lineRule="auto"/>
        <w:rPr>
          <w:rFonts w:cs="Arial"/>
        </w:rPr>
      </w:pPr>
      <w:r w:rsidRPr="00102605">
        <w:rPr>
          <w:rFonts w:cs="Arial"/>
        </w:rPr>
        <w:t>Production or use of persistent organic pollutants (POPs).</w:t>
      </w:r>
    </w:p>
    <w:p w14:paraId="06EA1CB8" w14:textId="61C9E894" w:rsidR="008610DD" w:rsidRPr="00102605" w:rsidRDefault="008610DD" w:rsidP="0045715B">
      <w:pPr>
        <w:pStyle w:val="Prrafodelista"/>
        <w:numPr>
          <w:ilvl w:val="0"/>
          <w:numId w:val="44"/>
        </w:numPr>
        <w:spacing w:after="0" w:line="240" w:lineRule="auto"/>
        <w:rPr>
          <w:rFonts w:cs="Arial"/>
        </w:rPr>
      </w:pPr>
      <w:r w:rsidRPr="00102605">
        <w:rPr>
          <w:rFonts w:cs="Arial"/>
        </w:rPr>
        <w:t>Fishing in the marine environment with nets of more than 2.5 km in length.</w:t>
      </w:r>
    </w:p>
    <w:p w14:paraId="1B5E282E" w14:textId="70452EE1" w:rsidR="008610DD" w:rsidRPr="00102605" w:rsidRDefault="008610DD" w:rsidP="0045715B">
      <w:pPr>
        <w:pStyle w:val="Prrafodelista"/>
        <w:numPr>
          <w:ilvl w:val="0"/>
          <w:numId w:val="44"/>
        </w:numPr>
        <w:spacing w:after="0" w:line="240" w:lineRule="auto"/>
        <w:rPr>
          <w:rFonts w:cs="Arial"/>
        </w:rPr>
      </w:pPr>
      <w:r w:rsidRPr="00102605">
        <w:rPr>
          <w:rFonts w:cs="Arial"/>
        </w:rPr>
        <w:t>Commercial logging operations with raw material from the tropical humid forest primary or primary tropical dry forest</w:t>
      </w:r>
    </w:p>
    <w:p w14:paraId="339EF2F2" w14:textId="48B109E5" w:rsidR="008610DD" w:rsidRPr="00102605" w:rsidRDefault="008610DD" w:rsidP="0045715B">
      <w:pPr>
        <w:pStyle w:val="Prrafodelista"/>
        <w:numPr>
          <w:ilvl w:val="0"/>
          <w:numId w:val="44"/>
        </w:numPr>
        <w:spacing w:after="0" w:line="240" w:lineRule="auto"/>
        <w:rPr>
          <w:rFonts w:cs="Arial"/>
        </w:rPr>
      </w:pPr>
      <w:r w:rsidRPr="00102605">
        <w:rPr>
          <w:rFonts w:cs="Arial"/>
        </w:rPr>
        <w:t>Production or trade in wood or other forest products that do not come from</w:t>
      </w:r>
      <w:r w:rsidR="00AC5593" w:rsidRPr="00102605">
        <w:rPr>
          <w:rFonts w:cs="Arial"/>
        </w:rPr>
        <w:t xml:space="preserve"> </w:t>
      </w:r>
      <w:r w:rsidRPr="00102605">
        <w:rPr>
          <w:rFonts w:cs="Arial"/>
        </w:rPr>
        <w:t>sustainably managed forests.</w:t>
      </w:r>
    </w:p>
    <w:p w14:paraId="323E85E2" w14:textId="40C09F10" w:rsidR="008610DD" w:rsidRPr="00102605" w:rsidRDefault="008610DD" w:rsidP="0045715B">
      <w:pPr>
        <w:pStyle w:val="Prrafodelista"/>
        <w:numPr>
          <w:ilvl w:val="0"/>
          <w:numId w:val="44"/>
        </w:numPr>
        <w:spacing w:after="0" w:line="240" w:lineRule="auto"/>
        <w:rPr>
          <w:rFonts w:cs="Arial"/>
        </w:rPr>
      </w:pPr>
      <w:r w:rsidRPr="00102605">
        <w:rPr>
          <w:rFonts w:cs="Arial"/>
        </w:rPr>
        <w:t xml:space="preserve">Production, trade, </w:t>
      </w:r>
      <w:proofErr w:type="gramStart"/>
      <w:r w:rsidRPr="00102605">
        <w:rPr>
          <w:rFonts w:cs="Arial"/>
        </w:rPr>
        <w:t>storage</w:t>
      </w:r>
      <w:proofErr w:type="gramEnd"/>
      <w:r w:rsidRPr="00102605">
        <w:rPr>
          <w:rFonts w:cs="Arial"/>
        </w:rPr>
        <w:t xml:space="preserve"> or transport of large volumes of products hazardous chemicals, or commercial scale use of hazardous chemicals.</w:t>
      </w:r>
    </w:p>
    <w:p w14:paraId="61CD6A21" w14:textId="550AAFF9" w:rsidR="008610DD" w:rsidRPr="00102605" w:rsidRDefault="008610DD" w:rsidP="0045715B">
      <w:pPr>
        <w:pStyle w:val="Prrafodelista"/>
        <w:numPr>
          <w:ilvl w:val="0"/>
          <w:numId w:val="44"/>
        </w:numPr>
        <w:spacing w:after="0" w:line="240" w:lineRule="auto"/>
        <w:rPr>
          <w:rFonts w:cs="Arial"/>
        </w:rPr>
      </w:pPr>
      <w:r w:rsidRPr="00102605">
        <w:rPr>
          <w:rFonts w:cs="Arial"/>
        </w:rPr>
        <w:t>Production or activities that affect the ownership of territory or land belonging to indigenous peoples, or claimed by them for adjudication, without full documented consent of said peoples.</w:t>
      </w:r>
    </w:p>
    <w:p w14:paraId="0B6BA673" w14:textId="05BEB8CE" w:rsidR="008610DD" w:rsidRPr="00D150E7" w:rsidRDefault="008610DD">
      <w:pPr>
        <w:pStyle w:val="Prrafodelista"/>
        <w:numPr>
          <w:ilvl w:val="0"/>
          <w:numId w:val="44"/>
        </w:numPr>
        <w:spacing w:after="0" w:line="240" w:lineRule="auto"/>
        <w:rPr>
          <w:rFonts w:cs="Arial"/>
        </w:rPr>
      </w:pPr>
      <w:r w:rsidRPr="00D150E7">
        <w:rPr>
          <w:rFonts w:cs="Arial"/>
        </w:rPr>
        <w:t xml:space="preserve">Operations in protected areas (protected areas) with special </w:t>
      </w:r>
      <w:proofErr w:type="gramStart"/>
      <w:r w:rsidRPr="00D150E7">
        <w:rPr>
          <w:rFonts w:cs="Arial"/>
        </w:rPr>
        <w:t>legislation, when</w:t>
      </w:r>
      <w:proofErr w:type="gramEnd"/>
      <w:r w:rsidRPr="00D150E7">
        <w:rPr>
          <w:rFonts w:cs="Arial"/>
        </w:rPr>
        <w:t xml:space="preserve"> the</w:t>
      </w:r>
      <w:r w:rsidR="00AC5593" w:rsidRPr="00D150E7">
        <w:rPr>
          <w:rFonts w:cs="Arial"/>
        </w:rPr>
        <w:t xml:space="preserve"> </w:t>
      </w:r>
      <w:r w:rsidRPr="00D150E7">
        <w:rPr>
          <w:rFonts w:cs="Arial"/>
        </w:rPr>
        <w:t>operation has the potential to jeopardize the purpose for which the area was created</w:t>
      </w:r>
      <w:r w:rsidR="00D150E7">
        <w:rPr>
          <w:rFonts w:cs="Arial"/>
        </w:rPr>
        <w:t xml:space="preserve"> </w:t>
      </w:r>
      <w:r w:rsidRPr="00D150E7">
        <w:rPr>
          <w:rFonts w:cs="Arial"/>
        </w:rPr>
        <w:t>protected.</w:t>
      </w:r>
    </w:p>
    <w:p w14:paraId="7FA95769" w14:textId="027F070A" w:rsidR="008610DD" w:rsidRPr="00102605" w:rsidRDefault="008610DD" w:rsidP="0045715B">
      <w:pPr>
        <w:pStyle w:val="Prrafodelista"/>
        <w:numPr>
          <w:ilvl w:val="0"/>
          <w:numId w:val="44"/>
        </w:numPr>
        <w:spacing w:after="0" w:line="240" w:lineRule="auto"/>
        <w:rPr>
          <w:rFonts w:cs="Arial"/>
        </w:rPr>
      </w:pPr>
      <w:r w:rsidRPr="00102605">
        <w:rPr>
          <w:rFonts w:cs="Arial"/>
        </w:rPr>
        <w:t>Activities that involve the introduction of exotic species and / or organisms genetically modified (GMO) without the corresponding technical studies and authorization to enter the country by the relevant regulatory institutions.</w:t>
      </w:r>
    </w:p>
    <w:p w14:paraId="54C254DD" w14:textId="77777777" w:rsidR="006060BB" w:rsidRPr="00102605" w:rsidRDefault="006060BB" w:rsidP="0045715B">
      <w:pPr>
        <w:spacing w:after="0" w:line="240" w:lineRule="auto"/>
        <w:ind w:left="360"/>
        <w:rPr>
          <w:rFonts w:cs="Arial"/>
        </w:rPr>
      </w:pPr>
    </w:p>
    <w:p w14:paraId="5D2CE34B" w14:textId="7FF5B4BB" w:rsidR="00961383" w:rsidRPr="00102605" w:rsidRDefault="008610DD" w:rsidP="0045715B">
      <w:pPr>
        <w:spacing w:after="0" w:line="240" w:lineRule="auto"/>
        <w:ind w:left="360"/>
        <w:rPr>
          <w:rFonts w:cs="Arial"/>
        </w:rPr>
      </w:pPr>
      <w:r w:rsidRPr="00102605">
        <w:rPr>
          <w:rFonts w:cs="Arial"/>
        </w:rPr>
        <w:t xml:space="preserve">Likewise, CAF does not finance operations to clients or executing agencies that carry out the production or activities involving harmful or exploitative forms of </w:t>
      </w:r>
      <w:proofErr w:type="spellStart"/>
      <w:r w:rsidRPr="00102605">
        <w:rPr>
          <w:rFonts w:cs="Arial"/>
        </w:rPr>
        <w:t>labor</w:t>
      </w:r>
      <w:proofErr w:type="spellEnd"/>
      <w:r w:rsidR="006060BB" w:rsidRPr="00102605">
        <w:rPr>
          <w:rFonts w:cs="Arial"/>
        </w:rPr>
        <w:t xml:space="preserve"> </w:t>
      </w:r>
      <w:r w:rsidRPr="00102605">
        <w:rPr>
          <w:rFonts w:cs="Arial"/>
        </w:rPr>
        <w:t xml:space="preserve">forced / child </w:t>
      </w:r>
      <w:proofErr w:type="spellStart"/>
      <w:r w:rsidRPr="00102605">
        <w:rPr>
          <w:rFonts w:cs="Arial"/>
        </w:rPr>
        <w:t>labor</w:t>
      </w:r>
      <w:proofErr w:type="spellEnd"/>
      <w:r w:rsidRPr="00102605">
        <w:rPr>
          <w:rFonts w:cs="Arial"/>
        </w:rPr>
        <w:t>.</w:t>
      </w:r>
    </w:p>
    <w:p w14:paraId="1E18901C" w14:textId="77777777" w:rsidR="00961383" w:rsidRPr="00102605" w:rsidRDefault="00961383" w:rsidP="0045715B">
      <w:pPr>
        <w:spacing w:after="0" w:line="240" w:lineRule="auto"/>
        <w:rPr>
          <w:rFonts w:cs="Arial"/>
        </w:rPr>
      </w:pPr>
    </w:p>
    <w:p w14:paraId="29D98532" w14:textId="2C520283" w:rsidR="00961383" w:rsidRPr="00102605" w:rsidRDefault="00961383" w:rsidP="000B0234">
      <w:pPr>
        <w:pStyle w:val="Ttulo1"/>
        <w:spacing w:before="0" w:after="0" w:line="240" w:lineRule="auto"/>
        <w:rPr>
          <w:rFonts w:cs="Arial"/>
        </w:rPr>
      </w:pPr>
      <w:bookmarkStart w:id="110" w:name="_Toc67651985"/>
      <w:bookmarkStart w:id="111" w:name="_Toc114152225"/>
      <w:r w:rsidRPr="00102605">
        <w:rPr>
          <w:rFonts w:cs="Arial"/>
        </w:rPr>
        <w:t>Annex 2 – Indicative Outline of Environmental and Social Impact Assessment</w:t>
      </w:r>
      <w:bookmarkEnd w:id="110"/>
      <w:bookmarkEnd w:id="111"/>
    </w:p>
    <w:p w14:paraId="0B7A2515" w14:textId="77777777" w:rsidR="0045715B" w:rsidRDefault="0045715B" w:rsidP="0045715B">
      <w:pPr>
        <w:spacing w:after="0" w:line="240" w:lineRule="auto"/>
        <w:rPr>
          <w:rFonts w:cs="Arial"/>
        </w:rPr>
      </w:pPr>
    </w:p>
    <w:p w14:paraId="2441DFA0" w14:textId="1ACB7CA9" w:rsidR="00961383" w:rsidRPr="00102605" w:rsidRDefault="003414A1" w:rsidP="0045715B">
      <w:pPr>
        <w:spacing w:after="0" w:line="240" w:lineRule="auto"/>
        <w:rPr>
          <w:rFonts w:cs="Arial"/>
        </w:rPr>
      </w:pPr>
      <w:r w:rsidRPr="00102605">
        <w:rPr>
          <w:rFonts w:cs="Arial"/>
        </w:rPr>
        <w:t xml:space="preserve">The </w:t>
      </w:r>
      <w:r w:rsidR="00961383" w:rsidRPr="00102605">
        <w:rPr>
          <w:rFonts w:cs="Arial"/>
        </w:rPr>
        <w:t>Environmental and social impact assessment (ESIA) is an instrument to identify and assess the potential environmental and social impacts of a proposed project, evaluate alternatives, and design appropriate mitigation, management, and monitoring measures.</w:t>
      </w:r>
    </w:p>
    <w:p w14:paraId="0E2CB5D9" w14:textId="77777777" w:rsidR="00961383" w:rsidRPr="00102605" w:rsidRDefault="00961383" w:rsidP="0045715B">
      <w:pPr>
        <w:spacing w:after="0" w:line="240" w:lineRule="auto"/>
        <w:rPr>
          <w:rFonts w:cs="Arial"/>
        </w:rPr>
      </w:pPr>
    </w:p>
    <w:p w14:paraId="64490C90"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Executive summary</w:t>
      </w:r>
    </w:p>
    <w:p w14:paraId="6173DC22"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Concisely discusses significant findings and recommended actions.</w:t>
      </w:r>
    </w:p>
    <w:p w14:paraId="34D0ECCD" w14:textId="77777777" w:rsidR="00961383" w:rsidRPr="00102605" w:rsidRDefault="00961383" w:rsidP="0045715B">
      <w:pPr>
        <w:pStyle w:val="Prrafodelista"/>
        <w:spacing w:after="0" w:line="240" w:lineRule="auto"/>
        <w:ind w:left="1080"/>
        <w:rPr>
          <w:rFonts w:cs="Arial"/>
        </w:rPr>
      </w:pPr>
    </w:p>
    <w:p w14:paraId="4E195641"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Legal and institutional framework</w:t>
      </w:r>
    </w:p>
    <w:p w14:paraId="3D0ED707" w14:textId="7A632AE4" w:rsidR="00961383" w:rsidRPr="00102605" w:rsidRDefault="00961383" w:rsidP="0045715B">
      <w:pPr>
        <w:pStyle w:val="Prrafodelista"/>
        <w:numPr>
          <w:ilvl w:val="0"/>
          <w:numId w:val="8"/>
        </w:numPr>
        <w:spacing w:after="0" w:line="240" w:lineRule="auto"/>
        <w:ind w:left="720"/>
        <w:rPr>
          <w:rFonts w:cs="Arial"/>
        </w:rPr>
      </w:pPr>
      <w:proofErr w:type="spellStart"/>
      <w:r w:rsidRPr="00102605">
        <w:rPr>
          <w:rFonts w:cs="Arial"/>
        </w:rPr>
        <w:t>Analyzes</w:t>
      </w:r>
      <w:proofErr w:type="spellEnd"/>
      <w:r w:rsidRPr="00102605">
        <w:rPr>
          <w:rFonts w:cs="Arial"/>
        </w:rPr>
        <w:t xml:space="preserve"> the legal and institutional framework for the project, within which the environmental and social assessment is carried out, as per </w:t>
      </w:r>
      <w:r w:rsidR="007A0885" w:rsidRPr="00102605">
        <w:rPr>
          <w:rFonts w:cs="Arial"/>
        </w:rPr>
        <w:t xml:space="preserve">CAF’s </w:t>
      </w:r>
      <w:r w:rsidR="00621447" w:rsidRPr="00102605">
        <w:t>social and environmental safeguards</w:t>
      </w:r>
      <w:r w:rsidR="00621447" w:rsidRPr="00102605">
        <w:rPr>
          <w:rFonts w:cs="Arial"/>
        </w:rPr>
        <w:t xml:space="preserve"> and </w:t>
      </w:r>
      <w:r w:rsidRPr="00102605">
        <w:rPr>
          <w:rFonts w:cs="Arial"/>
        </w:rPr>
        <w:t>IFC Performance Standard (PS).</w:t>
      </w:r>
    </w:p>
    <w:p w14:paraId="7D5BF218" w14:textId="1355BC55" w:rsidR="00961383" w:rsidRPr="00102605" w:rsidRDefault="00961383" w:rsidP="0045715B">
      <w:pPr>
        <w:pStyle w:val="Prrafodelista"/>
        <w:numPr>
          <w:ilvl w:val="0"/>
          <w:numId w:val="8"/>
        </w:numPr>
        <w:spacing w:after="0" w:line="240" w:lineRule="auto"/>
        <w:ind w:left="720"/>
        <w:rPr>
          <w:rFonts w:cs="Arial"/>
        </w:rPr>
      </w:pPr>
      <w:r w:rsidRPr="00102605">
        <w:rPr>
          <w:rFonts w:cs="Arial"/>
        </w:rPr>
        <w:t xml:space="preserve">Compares the borrower’s existing environmental and social framework and the </w:t>
      </w:r>
      <w:r w:rsidR="00621447" w:rsidRPr="00102605">
        <w:rPr>
          <w:rFonts w:cs="Arial"/>
        </w:rPr>
        <w:t>CAF’s safeguards/</w:t>
      </w:r>
      <w:r w:rsidRPr="00102605">
        <w:rPr>
          <w:rFonts w:cs="Arial"/>
        </w:rPr>
        <w:t>PS and identify the gaps between them.</w:t>
      </w:r>
    </w:p>
    <w:p w14:paraId="4B6378A8"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Identifies and assesses the environmental and social requirements of any co-financiers.</w:t>
      </w:r>
    </w:p>
    <w:p w14:paraId="42189B46" w14:textId="77777777" w:rsidR="00961383" w:rsidRPr="00102605" w:rsidRDefault="00961383" w:rsidP="0045715B">
      <w:pPr>
        <w:spacing w:after="0" w:line="240" w:lineRule="auto"/>
        <w:ind w:left="360"/>
        <w:rPr>
          <w:rFonts w:cs="Arial"/>
        </w:rPr>
      </w:pPr>
    </w:p>
    <w:p w14:paraId="4509A8E4"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Project description</w:t>
      </w:r>
    </w:p>
    <w:p w14:paraId="1EA11237"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Concisely describes the proposed project and its geographic, environmental, social, and temporal context, including any offsite investments that may be required, as well as the project’s primary suppliers.</w:t>
      </w:r>
    </w:p>
    <w:p w14:paraId="2444843A" w14:textId="440B98FD" w:rsidR="00961383" w:rsidRPr="00102605" w:rsidRDefault="00961383" w:rsidP="0045715B">
      <w:pPr>
        <w:pStyle w:val="Prrafodelista"/>
        <w:numPr>
          <w:ilvl w:val="0"/>
          <w:numId w:val="8"/>
        </w:numPr>
        <w:spacing w:after="0" w:line="240" w:lineRule="auto"/>
        <w:ind w:left="720"/>
        <w:rPr>
          <w:rFonts w:cs="Arial"/>
        </w:rPr>
      </w:pPr>
      <w:r w:rsidRPr="00102605">
        <w:rPr>
          <w:rFonts w:cs="Arial"/>
        </w:rPr>
        <w:t xml:space="preserve">Through consideration of the details of the project, indicates the need for any plan to meet the requirements of </w:t>
      </w:r>
      <w:r w:rsidR="00621447" w:rsidRPr="00102605">
        <w:rPr>
          <w:rFonts w:cs="Arial"/>
        </w:rPr>
        <w:t>CAF’s safeguards/PS</w:t>
      </w:r>
      <w:r w:rsidRPr="00102605">
        <w:rPr>
          <w:rFonts w:cs="Arial"/>
        </w:rPr>
        <w:t>.</w:t>
      </w:r>
    </w:p>
    <w:p w14:paraId="73915A0B"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Includes a map of sufficient detail, showing the project site and the area that may be affected by the project’s direct, indirect, and cumulative impacts.</w:t>
      </w:r>
    </w:p>
    <w:p w14:paraId="2A3841F2" w14:textId="77777777" w:rsidR="00961383" w:rsidRPr="00102605" w:rsidRDefault="00961383" w:rsidP="0045715B">
      <w:pPr>
        <w:spacing w:after="0" w:line="240" w:lineRule="auto"/>
        <w:ind w:left="360"/>
        <w:rPr>
          <w:rFonts w:cs="Arial"/>
        </w:rPr>
      </w:pPr>
    </w:p>
    <w:p w14:paraId="4B46B4C2"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Baseline data</w:t>
      </w:r>
    </w:p>
    <w:p w14:paraId="72915A21"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Sets out in detail the baseline data that is relevant to decisions about project location, design, operation, or mitigation measure. This should include a discussion of the accuracy, reliability, and sources of the data as well as information about dates surrounding project identification, planning and implementation.</w:t>
      </w:r>
    </w:p>
    <w:p w14:paraId="4D3B9428"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Identifies and estimates the extent and quality of available data, key data gaps, and uncertainties associated with predictions.</w:t>
      </w:r>
    </w:p>
    <w:p w14:paraId="01AF993A"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Based on current information, assesses the scope of the area to be studied and describes relevant physical, biological, and socioeconomic conditions, including any changes anticipated before the project commences.</w:t>
      </w:r>
    </w:p>
    <w:p w14:paraId="4895FF9D" w14:textId="77777777" w:rsidR="00961383" w:rsidRPr="00102605" w:rsidRDefault="00961383" w:rsidP="0045715B">
      <w:pPr>
        <w:pStyle w:val="Prrafodelista"/>
        <w:numPr>
          <w:ilvl w:val="0"/>
          <w:numId w:val="8"/>
        </w:numPr>
        <w:spacing w:after="0" w:line="240" w:lineRule="auto"/>
        <w:ind w:left="720"/>
        <w:rPr>
          <w:rFonts w:cs="Arial"/>
        </w:rPr>
      </w:pPr>
      <w:proofErr w:type="gramStart"/>
      <w:r w:rsidRPr="00102605">
        <w:rPr>
          <w:rFonts w:cs="Arial"/>
        </w:rPr>
        <w:t>Takes into account</w:t>
      </w:r>
      <w:proofErr w:type="gramEnd"/>
      <w:r w:rsidRPr="00102605">
        <w:rPr>
          <w:rFonts w:cs="Arial"/>
        </w:rPr>
        <w:t xml:space="preserve"> current and proposed development activities within the project area but not directly connected to the project.</w:t>
      </w:r>
    </w:p>
    <w:p w14:paraId="3D7C170F" w14:textId="77777777" w:rsidR="00961383" w:rsidRPr="00102605" w:rsidRDefault="00961383" w:rsidP="0045715B">
      <w:pPr>
        <w:spacing w:after="0" w:line="240" w:lineRule="auto"/>
        <w:ind w:left="360"/>
        <w:rPr>
          <w:rFonts w:cs="Arial"/>
        </w:rPr>
      </w:pPr>
    </w:p>
    <w:p w14:paraId="5C8D6FF1"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Environmental and social risks and impacts</w:t>
      </w:r>
    </w:p>
    <w:p w14:paraId="390C540E" w14:textId="77777777" w:rsidR="00961383" w:rsidRPr="00102605" w:rsidRDefault="00961383" w:rsidP="0045715B">
      <w:pPr>
        <w:pStyle w:val="Prrafodelista"/>
        <w:numPr>
          <w:ilvl w:val="0"/>
          <w:numId w:val="8"/>
        </w:numPr>
        <w:spacing w:after="0" w:line="240" w:lineRule="auto"/>
        <w:ind w:left="720"/>
        <w:rPr>
          <w:rFonts w:cs="Arial"/>
        </w:rPr>
      </w:pPr>
      <w:proofErr w:type="gramStart"/>
      <w:r w:rsidRPr="00102605">
        <w:rPr>
          <w:rFonts w:cs="Arial"/>
        </w:rPr>
        <w:t>Takes into account</w:t>
      </w:r>
      <w:proofErr w:type="gramEnd"/>
      <w:r w:rsidRPr="00102605">
        <w:rPr>
          <w:rFonts w:cs="Arial"/>
        </w:rPr>
        <w:t xml:space="preserve"> all relevant environmental and social risks and impacts of the project.</w:t>
      </w:r>
    </w:p>
    <w:p w14:paraId="29017F52" w14:textId="77777777" w:rsidR="00961383" w:rsidRPr="00102605" w:rsidRDefault="00961383" w:rsidP="0045715B">
      <w:pPr>
        <w:pStyle w:val="Prrafodelista"/>
        <w:spacing w:after="0" w:line="240" w:lineRule="auto"/>
        <w:rPr>
          <w:rFonts w:cs="Arial"/>
        </w:rPr>
      </w:pPr>
    </w:p>
    <w:p w14:paraId="397E2549"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Mitigation measures</w:t>
      </w:r>
    </w:p>
    <w:p w14:paraId="376939B6"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Identifies mitigation measures and significant residual negative impacts that cannot be mitigated and, to the extent possible, assesses the acceptability of those residual negative impacts.</w:t>
      </w:r>
    </w:p>
    <w:p w14:paraId="5AD7CCF0"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Identifies differentiated measures so that adverse impacts do not fall disproportionately on the disadvantaged or vulnerable.</w:t>
      </w:r>
    </w:p>
    <w:p w14:paraId="23DDFA84"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Assesses the feasibility of mitigating the environmental and social impacts; the capital and recurrent costs of proposed mitigation measures, and their suitability under local conditions; the institutional, training, and monitoring requirements for the proposed mitigation measures.</w:t>
      </w:r>
    </w:p>
    <w:p w14:paraId="15E05FF0"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Specifies issues that do not require further attention, providing the basis for this determination.</w:t>
      </w:r>
    </w:p>
    <w:p w14:paraId="5BCD46B0" w14:textId="77777777" w:rsidR="00961383" w:rsidRPr="00102605" w:rsidRDefault="00961383" w:rsidP="0045715B">
      <w:pPr>
        <w:spacing w:after="0" w:line="240" w:lineRule="auto"/>
        <w:ind w:left="360"/>
        <w:rPr>
          <w:rFonts w:cs="Arial"/>
        </w:rPr>
      </w:pPr>
      <w:r w:rsidRPr="00102605">
        <w:rPr>
          <w:rFonts w:cs="Arial"/>
        </w:rPr>
        <w:t xml:space="preserve"> </w:t>
      </w:r>
    </w:p>
    <w:p w14:paraId="6D1DB93B"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Analysis of alternatives</w:t>
      </w:r>
    </w:p>
    <w:p w14:paraId="285810D5"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Systematically compares feasible alternatives to the proposed project site, technology, design, and operation--including the "without project" situation--in terms of their potential environmental and social impacts.</w:t>
      </w:r>
    </w:p>
    <w:p w14:paraId="558A93B8"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Assesses the alternatives’ feasibility of mitigating the environmental and social impacts; the capital and recurrent costs of alternative mitigation measures, and their suitability under local conditions; the institutional, training, and monitoring requirements for the alternative mitigation measures.</w:t>
      </w:r>
    </w:p>
    <w:p w14:paraId="4051D99A" w14:textId="77777777" w:rsidR="00961383" w:rsidRPr="00102605" w:rsidRDefault="00961383" w:rsidP="0045715B">
      <w:pPr>
        <w:pStyle w:val="Prrafodelista"/>
        <w:numPr>
          <w:ilvl w:val="0"/>
          <w:numId w:val="8"/>
        </w:numPr>
        <w:spacing w:after="0" w:line="240" w:lineRule="auto"/>
        <w:ind w:left="720"/>
        <w:rPr>
          <w:rFonts w:cs="Arial"/>
        </w:rPr>
      </w:pPr>
      <w:r w:rsidRPr="00102605">
        <w:rPr>
          <w:rFonts w:cs="Arial"/>
        </w:rPr>
        <w:t>For each of the alternatives, quantifies the environmental and social impacts to the extent possible, and attaches economic values where feasible.</w:t>
      </w:r>
    </w:p>
    <w:p w14:paraId="1F15C808" w14:textId="77777777" w:rsidR="00961383" w:rsidRPr="00102605" w:rsidRDefault="00961383" w:rsidP="0045715B">
      <w:pPr>
        <w:spacing w:after="0" w:line="240" w:lineRule="auto"/>
        <w:ind w:left="360"/>
        <w:rPr>
          <w:rFonts w:cs="Arial"/>
        </w:rPr>
      </w:pPr>
    </w:p>
    <w:p w14:paraId="21A7A1A4"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Design measures</w:t>
      </w:r>
    </w:p>
    <w:p w14:paraId="36F0D60A" w14:textId="67DFF5EA" w:rsidR="00961383" w:rsidRPr="00102605" w:rsidRDefault="00961383" w:rsidP="0045715B">
      <w:pPr>
        <w:pStyle w:val="Prrafodelista"/>
        <w:numPr>
          <w:ilvl w:val="0"/>
          <w:numId w:val="8"/>
        </w:numPr>
        <w:spacing w:after="0" w:line="240" w:lineRule="auto"/>
        <w:ind w:left="720"/>
        <w:rPr>
          <w:rFonts w:cs="Arial"/>
        </w:rPr>
      </w:pPr>
      <w:r w:rsidRPr="00102605">
        <w:rPr>
          <w:rFonts w:cs="Arial"/>
        </w:rPr>
        <w:t xml:space="preserve">Sets out the basis for selecting the </w:t>
      </w:r>
      <w:proofErr w:type="gramStart"/>
      <w:r w:rsidRPr="00102605">
        <w:rPr>
          <w:rFonts w:cs="Arial"/>
        </w:rPr>
        <w:t>particular project</w:t>
      </w:r>
      <w:proofErr w:type="gramEnd"/>
      <w:r w:rsidRPr="00102605">
        <w:rPr>
          <w:rFonts w:cs="Arial"/>
        </w:rPr>
        <w:t xml:space="preserve"> design proposed and specifies the applicable </w:t>
      </w:r>
      <w:r w:rsidR="00791539" w:rsidRPr="00102605">
        <w:rPr>
          <w:rFonts w:cs="Arial"/>
        </w:rPr>
        <w:t xml:space="preserve">CAF’s guidelines and/or </w:t>
      </w:r>
      <w:r w:rsidRPr="00102605">
        <w:rPr>
          <w:rFonts w:cs="Arial"/>
        </w:rPr>
        <w:t>World Bank Group</w:t>
      </w:r>
      <w:r w:rsidRPr="00102605">
        <w:rPr>
          <w:rFonts w:cs="Arial"/>
          <w:spacing w:val="1"/>
        </w:rPr>
        <w:t xml:space="preserve"> </w:t>
      </w:r>
      <w:r w:rsidRPr="00102605">
        <w:rPr>
          <w:rFonts w:cs="Arial"/>
          <w:spacing w:val="-1"/>
        </w:rPr>
        <w:t>Environmental, Health, and Safety Guidelines</w:t>
      </w:r>
      <w:r w:rsidRPr="00102605">
        <w:rPr>
          <w:rFonts w:cs="Arial"/>
        </w:rPr>
        <w:t xml:space="preserve"> or if these are determined to be inapplicable, justifies recommended emission levels and approaches to pollution prevention and abatement that are consistent with Good International Industry Practice.</w:t>
      </w:r>
    </w:p>
    <w:p w14:paraId="504FFFB8" w14:textId="77777777" w:rsidR="00961383" w:rsidRPr="00102605" w:rsidRDefault="00961383" w:rsidP="0045715B">
      <w:pPr>
        <w:spacing w:after="0" w:line="240" w:lineRule="auto"/>
        <w:ind w:left="360"/>
        <w:rPr>
          <w:rFonts w:cs="Arial"/>
        </w:rPr>
      </w:pPr>
    </w:p>
    <w:p w14:paraId="281217A1"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Key measures and actions for the Environmental and Social Management Plan (ESMP)</w:t>
      </w:r>
    </w:p>
    <w:p w14:paraId="59213089" w14:textId="4BE9BFE8" w:rsidR="00961383" w:rsidRPr="00102605" w:rsidRDefault="00961383" w:rsidP="0045715B">
      <w:pPr>
        <w:pStyle w:val="Prrafodelista"/>
        <w:numPr>
          <w:ilvl w:val="0"/>
          <w:numId w:val="8"/>
        </w:numPr>
        <w:spacing w:after="0" w:line="240" w:lineRule="auto"/>
        <w:ind w:left="720"/>
        <w:rPr>
          <w:rFonts w:cs="Arial"/>
        </w:rPr>
      </w:pPr>
      <w:r w:rsidRPr="00102605">
        <w:rPr>
          <w:rFonts w:cs="Arial"/>
        </w:rPr>
        <w:t xml:space="preserve">Summarizes key measures and actions and the timeframe required for the project to meet the requirements of the </w:t>
      </w:r>
      <w:r w:rsidR="00791539" w:rsidRPr="00102605">
        <w:rPr>
          <w:rFonts w:cs="Arial"/>
        </w:rPr>
        <w:t>CAF’s safeguards/PS</w:t>
      </w:r>
      <w:r w:rsidRPr="00102605">
        <w:rPr>
          <w:rFonts w:cs="Arial"/>
        </w:rPr>
        <w:t>. This will be used in developing the Environmental and Social Management Plan (ESMP).</w:t>
      </w:r>
    </w:p>
    <w:p w14:paraId="694FE8AF" w14:textId="77777777" w:rsidR="00961383" w:rsidRPr="00102605" w:rsidRDefault="00961383" w:rsidP="0045715B">
      <w:pPr>
        <w:spacing w:after="0" w:line="240" w:lineRule="auto"/>
        <w:ind w:left="360"/>
        <w:rPr>
          <w:rFonts w:cs="Arial"/>
        </w:rPr>
      </w:pPr>
    </w:p>
    <w:p w14:paraId="399E7783" w14:textId="77777777" w:rsidR="00961383" w:rsidRPr="00102605" w:rsidRDefault="00961383" w:rsidP="0045715B">
      <w:pPr>
        <w:pStyle w:val="Prrafodelista"/>
        <w:numPr>
          <w:ilvl w:val="0"/>
          <w:numId w:val="7"/>
        </w:numPr>
        <w:spacing w:after="0" w:line="240" w:lineRule="auto"/>
        <w:ind w:left="720"/>
        <w:rPr>
          <w:rFonts w:cs="Arial"/>
        </w:rPr>
      </w:pPr>
      <w:r w:rsidRPr="00102605">
        <w:rPr>
          <w:rFonts w:cs="Arial"/>
        </w:rPr>
        <w:t>Appendices</w:t>
      </w:r>
    </w:p>
    <w:p w14:paraId="0F5BB2B0" w14:textId="77777777" w:rsidR="00961383" w:rsidRPr="00102605" w:rsidRDefault="00961383" w:rsidP="0045715B">
      <w:pPr>
        <w:pStyle w:val="Prrafodelista"/>
        <w:numPr>
          <w:ilvl w:val="0"/>
          <w:numId w:val="9"/>
        </w:numPr>
        <w:spacing w:after="0" w:line="240" w:lineRule="auto"/>
        <w:ind w:left="870" w:hanging="510"/>
        <w:rPr>
          <w:rFonts w:cs="Arial"/>
        </w:rPr>
      </w:pPr>
      <w:r w:rsidRPr="00102605">
        <w:rPr>
          <w:rFonts w:cs="Arial"/>
        </w:rPr>
        <w:t>List of the individuals or organizations that prepared or contributed to the environmental and social assessment.</w:t>
      </w:r>
    </w:p>
    <w:p w14:paraId="4BE2B219" w14:textId="77777777" w:rsidR="00961383" w:rsidRPr="00102605" w:rsidRDefault="00961383" w:rsidP="0045715B">
      <w:pPr>
        <w:pStyle w:val="Prrafodelista"/>
        <w:numPr>
          <w:ilvl w:val="0"/>
          <w:numId w:val="9"/>
        </w:numPr>
        <w:spacing w:after="0" w:line="240" w:lineRule="auto"/>
        <w:ind w:left="870" w:hanging="510"/>
        <w:rPr>
          <w:rFonts w:cs="Arial"/>
        </w:rPr>
      </w:pPr>
      <w:r w:rsidRPr="00102605">
        <w:rPr>
          <w:rFonts w:cs="Arial"/>
        </w:rPr>
        <w:t>References—setting out the written materials both published and unpublished, that have been used.</w:t>
      </w:r>
    </w:p>
    <w:p w14:paraId="52D750B5" w14:textId="77777777" w:rsidR="00961383" w:rsidRPr="00102605" w:rsidRDefault="00961383" w:rsidP="0045715B">
      <w:pPr>
        <w:pStyle w:val="Prrafodelista"/>
        <w:numPr>
          <w:ilvl w:val="0"/>
          <w:numId w:val="9"/>
        </w:numPr>
        <w:spacing w:after="0" w:line="240" w:lineRule="auto"/>
        <w:ind w:left="870" w:hanging="510"/>
        <w:rPr>
          <w:rFonts w:cs="Arial"/>
        </w:rPr>
      </w:pPr>
      <w:r w:rsidRPr="00102605">
        <w:rPr>
          <w:rFonts w:cs="Arial"/>
        </w:rPr>
        <w:t xml:space="preserve">Record of meetings, </w:t>
      </w:r>
      <w:proofErr w:type="gramStart"/>
      <w:r w:rsidRPr="00102605">
        <w:rPr>
          <w:rFonts w:cs="Arial"/>
        </w:rPr>
        <w:t>consultations</w:t>
      </w:r>
      <w:proofErr w:type="gramEnd"/>
      <w:r w:rsidRPr="00102605">
        <w:rPr>
          <w:rFonts w:cs="Arial"/>
        </w:rPr>
        <w:t xml:space="preserve"> and surveys with stakeholders, including those with affected people and other interested parties. The record specifies the means of such stakeholder engagement that were used to obtain the views of affected people and other interested parties.</w:t>
      </w:r>
    </w:p>
    <w:p w14:paraId="2940119D" w14:textId="77777777" w:rsidR="00961383" w:rsidRPr="00102605" w:rsidRDefault="00961383" w:rsidP="0045715B">
      <w:pPr>
        <w:pStyle w:val="Prrafodelista"/>
        <w:numPr>
          <w:ilvl w:val="0"/>
          <w:numId w:val="9"/>
        </w:numPr>
        <w:spacing w:after="0" w:line="240" w:lineRule="auto"/>
        <w:ind w:left="870" w:hanging="510"/>
        <w:jc w:val="left"/>
        <w:rPr>
          <w:rFonts w:cs="Arial"/>
        </w:rPr>
      </w:pPr>
      <w:r w:rsidRPr="00102605">
        <w:rPr>
          <w:rFonts w:cs="Arial"/>
        </w:rPr>
        <w:t>Tables presenting the relevant data referred to or summarized in the main text.</w:t>
      </w:r>
    </w:p>
    <w:p w14:paraId="19F0700E" w14:textId="77777777" w:rsidR="00961383" w:rsidRPr="00102605" w:rsidRDefault="00961383" w:rsidP="0045715B">
      <w:pPr>
        <w:pStyle w:val="Prrafodelista"/>
        <w:numPr>
          <w:ilvl w:val="0"/>
          <w:numId w:val="9"/>
        </w:numPr>
        <w:spacing w:after="0" w:line="240" w:lineRule="auto"/>
        <w:ind w:left="870" w:hanging="510"/>
        <w:jc w:val="left"/>
        <w:rPr>
          <w:rFonts w:cs="Arial"/>
        </w:rPr>
      </w:pPr>
      <w:r w:rsidRPr="00102605">
        <w:rPr>
          <w:rFonts w:cs="Arial"/>
        </w:rPr>
        <w:t>List of associated reports or plans.</w:t>
      </w:r>
    </w:p>
    <w:p w14:paraId="38078F85" w14:textId="67ED4741" w:rsidR="00961383" w:rsidRDefault="00961383" w:rsidP="0045715B">
      <w:pPr>
        <w:pStyle w:val="Prrafodelista"/>
        <w:spacing w:after="0" w:line="240" w:lineRule="auto"/>
        <w:ind w:left="1080"/>
        <w:rPr>
          <w:rFonts w:cs="Arial"/>
        </w:rPr>
      </w:pPr>
    </w:p>
    <w:p w14:paraId="14D38466" w14:textId="1142EB5A" w:rsidR="0045715B" w:rsidRDefault="0045715B" w:rsidP="0045715B">
      <w:pPr>
        <w:pStyle w:val="Prrafodelista"/>
        <w:spacing w:after="0" w:line="240" w:lineRule="auto"/>
        <w:ind w:left="1080"/>
        <w:rPr>
          <w:rFonts w:cs="Arial"/>
        </w:rPr>
      </w:pPr>
    </w:p>
    <w:p w14:paraId="4F4BA726" w14:textId="77777777" w:rsidR="0045715B" w:rsidRPr="00102605" w:rsidRDefault="0045715B" w:rsidP="0045715B">
      <w:pPr>
        <w:pStyle w:val="Prrafodelista"/>
        <w:spacing w:after="0" w:line="240" w:lineRule="auto"/>
        <w:ind w:left="1080"/>
        <w:rPr>
          <w:rFonts w:cs="Arial"/>
        </w:rPr>
      </w:pPr>
    </w:p>
    <w:p w14:paraId="15B25047" w14:textId="77777777" w:rsidR="00961383" w:rsidRPr="00102605" w:rsidRDefault="00961383" w:rsidP="000B0234">
      <w:pPr>
        <w:pStyle w:val="Ttulo1"/>
        <w:spacing w:before="0" w:after="0" w:line="240" w:lineRule="auto"/>
        <w:rPr>
          <w:rFonts w:cs="Arial"/>
        </w:rPr>
      </w:pPr>
      <w:bookmarkStart w:id="112" w:name="_Toc67651986"/>
      <w:bookmarkStart w:id="113" w:name="_Toc114152226"/>
      <w:r w:rsidRPr="00102605">
        <w:rPr>
          <w:rFonts w:cs="Arial"/>
        </w:rPr>
        <w:t>Annex 3 – Indicative Outline of Environmental and Social Management Plan</w:t>
      </w:r>
      <w:bookmarkEnd w:id="112"/>
      <w:bookmarkEnd w:id="113"/>
      <w:r w:rsidRPr="00102605">
        <w:rPr>
          <w:rFonts w:cs="Arial"/>
        </w:rPr>
        <w:t xml:space="preserve"> </w:t>
      </w:r>
    </w:p>
    <w:p w14:paraId="74BE6DB6" w14:textId="77777777" w:rsidR="00961383" w:rsidRPr="00102605" w:rsidRDefault="00961383" w:rsidP="0045715B">
      <w:pPr>
        <w:spacing w:after="0" w:line="240" w:lineRule="auto"/>
        <w:rPr>
          <w:rFonts w:cs="Arial"/>
        </w:rPr>
      </w:pPr>
    </w:p>
    <w:p w14:paraId="4883C89E" w14:textId="118AF33B" w:rsidR="00961383" w:rsidRDefault="00791539" w:rsidP="0045715B">
      <w:pPr>
        <w:spacing w:after="0" w:line="240" w:lineRule="auto"/>
        <w:rPr>
          <w:rFonts w:cs="Arial"/>
        </w:rPr>
      </w:pPr>
      <w:r w:rsidRPr="00102605">
        <w:rPr>
          <w:rFonts w:cs="Arial"/>
        </w:rPr>
        <w:t xml:space="preserve">The </w:t>
      </w:r>
      <w:r w:rsidR="00961383" w:rsidRPr="00102605">
        <w:rPr>
          <w:rFonts w:cs="Arial"/>
        </w:rPr>
        <w:t>Environmental and social management plan (ESMP) is an instrument that details (a) the measures to be taken during the implementation and operation of a project to eliminate or offset adverse environmental and social impacts, or to reduce them to acceptable levels; and (b) the actions needed to implement these measures.</w:t>
      </w:r>
    </w:p>
    <w:p w14:paraId="1AA1DE6D" w14:textId="77777777" w:rsidR="0045715B" w:rsidRPr="00102605" w:rsidRDefault="0045715B" w:rsidP="0045715B">
      <w:pPr>
        <w:spacing w:after="0" w:line="240" w:lineRule="auto"/>
        <w:rPr>
          <w:rFonts w:cs="Arial"/>
        </w:rPr>
      </w:pPr>
    </w:p>
    <w:p w14:paraId="54151963" w14:textId="77777777" w:rsidR="00961383" w:rsidRPr="00102605" w:rsidRDefault="00961383" w:rsidP="0045715B">
      <w:pPr>
        <w:pStyle w:val="Prrafodelista"/>
        <w:numPr>
          <w:ilvl w:val="0"/>
          <w:numId w:val="14"/>
        </w:numPr>
        <w:spacing w:after="0" w:line="240" w:lineRule="auto"/>
        <w:ind w:left="426" w:hanging="426"/>
        <w:rPr>
          <w:rFonts w:cs="Arial"/>
        </w:rPr>
      </w:pPr>
      <w:r w:rsidRPr="00102605">
        <w:rPr>
          <w:rFonts w:cs="Arial"/>
        </w:rPr>
        <w:t>Description of mitigation measures:</w:t>
      </w:r>
    </w:p>
    <w:p w14:paraId="487BBAC4" w14:textId="77777777" w:rsidR="00961383" w:rsidRPr="00102605" w:rsidRDefault="00961383" w:rsidP="0045715B">
      <w:pPr>
        <w:pStyle w:val="Prrafodelista"/>
        <w:widowControl w:val="0"/>
        <w:numPr>
          <w:ilvl w:val="0"/>
          <w:numId w:val="13"/>
        </w:numPr>
        <w:tabs>
          <w:tab w:val="left" w:pos="851"/>
          <w:tab w:val="left" w:pos="8910"/>
        </w:tabs>
        <w:autoSpaceDE w:val="0"/>
        <w:autoSpaceDN w:val="0"/>
        <w:spacing w:after="0" w:line="240" w:lineRule="auto"/>
        <w:ind w:left="851" w:hanging="425"/>
        <w:contextualSpacing w:val="0"/>
        <w:rPr>
          <w:rFonts w:cs="Arial"/>
        </w:rPr>
      </w:pPr>
      <w:r w:rsidRPr="00102605">
        <w:rPr>
          <w:rFonts w:cs="Arial"/>
        </w:rPr>
        <w:t>Outlines the negative impacts of the project as described in the environmental and social impact assessment (ESIA), for both the works phase and operating phase and indicates (</w:t>
      </w:r>
      <w:proofErr w:type="spellStart"/>
      <w:r w:rsidRPr="00102605">
        <w:rPr>
          <w:rFonts w:cs="Arial"/>
        </w:rPr>
        <w:t>i</w:t>
      </w:r>
      <w:proofErr w:type="spellEnd"/>
      <w:r w:rsidRPr="00102605">
        <w:rPr>
          <w:rFonts w:cs="Arial"/>
        </w:rPr>
        <w:t xml:space="preserve">) the target affected by the impact, (ii) the relative importance of the impact, (iii) its probability of occurrence and (iv) its duration (short, </w:t>
      </w:r>
      <w:proofErr w:type="gramStart"/>
      <w:r w:rsidRPr="00102605">
        <w:rPr>
          <w:rFonts w:cs="Arial"/>
        </w:rPr>
        <w:t>middle</w:t>
      </w:r>
      <w:proofErr w:type="gramEnd"/>
      <w:r w:rsidRPr="00102605">
        <w:rPr>
          <w:rFonts w:cs="Arial"/>
        </w:rPr>
        <w:t xml:space="preserve"> and long term).</w:t>
      </w:r>
    </w:p>
    <w:p w14:paraId="4DB8CCD7" w14:textId="77777777" w:rsidR="00961383" w:rsidRPr="00102605" w:rsidRDefault="00961383" w:rsidP="0045715B">
      <w:pPr>
        <w:pStyle w:val="Prrafodelista"/>
        <w:widowControl w:val="0"/>
        <w:numPr>
          <w:ilvl w:val="0"/>
          <w:numId w:val="13"/>
        </w:numPr>
        <w:tabs>
          <w:tab w:val="left" w:pos="851"/>
          <w:tab w:val="left" w:pos="8910"/>
        </w:tabs>
        <w:autoSpaceDE w:val="0"/>
        <w:autoSpaceDN w:val="0"/>
        <w:spacing w:after="0" w:line="240" w:lineRule="auto"/>
        <w:ind w:left="851" w:hanging="425"/>
        <w:contextualSpacing w:val="0"/>
        <w:rPr>
          <w:rFonts w:cs="Arial"/>
        </w:rPr>
      </w:pPr>
      <w:r w:rsidRPr="00102605">
        <w:rPr>
          <w:rFonts w:cs="Arial"/>
        </w:rPr>
        <w:t>Describes, with all necessary technical details, each mitigation measure, indicating the type of impact or pollution it remedies, the period concerned, the organism or people responsible of its implementation and the conditions for which it is necessary (permanently or in unexpected cases for example), with, if necessary, detailed technical information (plans, material description, population census), and potential norms to observe.</w:t>
      </w:r>
    </w:p>
    <w:p w14:paraId="45973390" w14:textId="77777777" w:rsidR="00961383" w:rsidRPr="00102605" w:rsidRDefault="00961383" w:rsidP="0045715B">
      <w:pPr>
        <w:pStyle w:val="Prrafodelista"/>
        <w:widowControl w:val="0"/>
        <w:numPr>
          <w:ilvl w:val="0"/>
          <w:numId w:val="13"/>
        </w:numPr>
        <w:tabs>
          <w:tab w:val="left" w:pos="851"/>
          <w:tab w:val="left" w:pos="8910"/>
        </w:tabs>
        <w:autoSpaceDE w:val="0"/>
        <w:autoSpaceDN w:val="0"/>
        <w:spacing w:after="0" w:line="240" w:lineRule="auto"/>
        <w:ind w:left="851" w:hanging="425"/>
        <w:contextualSpacing w:val="0"/>
        <w:rPr>
          <w:rFonts w:cs="Arial"/>
        </w:rPr>
      </w:pPr>
      <w:r w:rsidRPr="00102605">
        <w:rPr>
          <w:rFonts w:cs="Arial"/>
        </w:rPr>
        <w:t>Assess the scope and costs of the measures as well as the institutional and training needs to implementing these measures. If necessary, identify compensation mechanisms for people affected by effects which cannot be mitigated.</w:t>
      </w:r>
    </w:p>
    <w:p w14:paraId="54A204E3" w14:textId="77777777" w:rsidR="00961383" w:rsidRPr="00102605" w:rsidRDefault="00961383" w:rsidP="0045715B">
      <w:pPr>
        <w:spacing w:after="0" w:line="240" w:lineRule="auto"/>
        <w:rPr>
          <w:rFonts w:cs="Arial"/>
        </w:rPr>
      </w:pPr>
    </w:p>
    <w:p w14:paraId="66A24FAE" w14:textId="77777777" w:rsidR="00961383" w:rsidRPr="00102605" w:rsidRDefault="00961383" w:rsidP="0045715B">
      <w:pPr>
        <w:pStyle w:val="Prrafodelista"/>
        <w:numPr>
          <w:ilvl w:val="0"/>
          <w:numId w:val="14"/>
        </w:numPr>
        <w:spacing w:after="0" w:line="240" w:lineRule="auto"/>
        <w:rPr>
          <w:rFonts w:cs="Arial"/>
        </w:rPr>
      </w:pPr>
      <w:r w:rsidRPr="00102605">
        <w:rPr>
          <w:rFonts w:cs="Arial"/>
        </w:rPr>
        <w:t>Implementation of environmental and social monitoring:</w:t>
      </w:r>
    </w:p>
    <w:p w14:paraId="02B1EC2A" w14:textId="77777777" w:rsidR="00791539" w:rsidRPr="00102605" w:rsidRDefault="00791539" w:rsidP="0045715B">
      <w:pPr>
        <w:spacing w:after="0" w:line="240" w:lineRule="auto"/>
        <w:rPr>
          <w:rFonts w:cs="Arial"/>
        </w:rPr>
      </w:pPr>
    </w:p>
    <w:p w14:paraId="12BF3035" w14:textId="64EBFCDB" w:rsidR="00961383" w:rsidRDefault="00961383" w:rsidP="0045715B">
      <w:pPr>
        <w:spacing w:after="0" w:line="240" w:lineRule="auto"/>
        <w:rPr>
          <w:rFonts w:cs="Arial"/>
        </w:rPr>
      </w:pPr>
      <w:r w:rsidRPr="00102605">
        <w:rPr>
          <w:rFonts w:cs="Arial"/>
        </w:rPr>
        <w:t>The objective of the environmental and social monitoring is (</w:t>
      </w:r>
      <w:proofErr w:type="spellStart"/>
      <w:r w:rsidRPr="00102605">
        <w:rPr>
          <w:rFonts w:cs="Arial"/>
        </w:rPr>
        <w:t>i</w:t>
      </w:r>
      <w:proofErr w:type="spellEnd"/>
      <w:r w:rsidRPr="00102605">
        <w:rPr>
          <w:rFonts w:cs="Arial"/>
        </w:rPr>
        <w:t>) to verify that the environmental and social commitments taken by the project owner have been fulfilled, (ii) to give information on the main environmental and social issues of the project, above all on its impacts and (iii) to analyse the efficiency of the applied mitigation measures.</w:t>
      </w:r>
      <w:r w:rsidR="00791539" w:rsidRPr="00102605">
        <w:rPr>
          <w:rFonts w:cs="Arial"/>
        </w:rPr>
        <w:t xml:space="preserve"> </w:t>
      </w:r>
      <w:r w:rsidRPr="00102605">
        <w:rPr>
          <w:rFonts w:cs="Arial"/>
        </w:rPr>
        <w:t>This information makes it possible to assess the success of the mitigation measures within the supervision of the project and to take, if necessary, corrective measures.</w:t>
      </w:r>
    </w:p>
    <w:p w14:paraId="4C5058E4" w14:textId="77777777" w:rsidR="0045715B" w:rsidRPr="00102605" w:rsidRDefault="0045715B" w:rsidP="0045715B">
      <w:pPr>
        <w:spacing w:after="0" w:line="240" w:lineRule="auto"/>
        <w:rPr>
          <w:rFonts w:cs="Arial"/>
        </w:rPr>
      </w:pPr>
    </w:p>
    <w:p w14:paraId="3AC9725E" w14:textId="416EFBEB" w:rsidR="00961383" w:rsidRDefault="00961383" w:rsidP="0045715B">
      <w:pPr>
        <w:spacing w:after="0" w:line="240" w:lineRule="auto"/>
        <w:rPr>
          <w:rFonts w:cs="Arial"/>
        </w:rPr>
      </w:pPr>
      <w:r w:rsidRPr="00102605">
        <w:rPr>
          <w:rFonts w:cs="Arial"/>
        </w:rPr>
        <w:t>The ESMP defines monitoring objectives and precise monitoring methods, relative to the effects assessed in the ESIA report and mitigation measures described in the ESMP.</w:t>
      </w:r>
      <w:r w:rsidR="00CA0241" w:rsidRPr="00102605">
        <w:rPr>
          <w:rFonts w:cs="Arial"/>
        </w:rPr>
        <w:t xml:space="preserve"> </w:t>
      </w:r>
      <w:r w:rsidRPr="00102605">
        <w:rPr>
          <w:rFonts w:cs="Arial"/>
        </w:rPr>
        <w:t>This part comprises:</w:t>
      </w:r>
    </w:p>
    <w:p w14:paraId="59C33F16" w14:textId="77777777" w:rsidR="0045715B" w:rsidRPr="00102605" w:rsidRDefault="0045715B" w:rsidP="0045715B">
      <w:pPr>
        <w:spacing w:after="0" w:line="240" w:lineRule="auto"/>
        <w:rPr>
          <w:rFonts w:cs="Arial"/>
        </w:rPr>
      </w:pPr>
    </w:p>
    <w:p w14:paraId="5D35606E" w14:textId="77777777" w:rsidR="00961383" w:rsidRPr="00102605" w:rsidRDefault="00961383" w:rsidP="0045715B">
      <w:pPr>
        <w:pStyle w:val="Prrafodelista"/>
        <w:widowControl w:val="0"/>
        <w:numPr>
          <w:ilvl w:val="0"/>
          <w:numId w:val="12"/>
        </w:numPr>
        <w:tabs>
          <w:tab w:val="left" w:pos="426"/>
        </w:tabs>
        <w:autoSpaceDE w:val="0"/>
        <w:autoSpaceDN w:val="0"/>
        <w:spacing w:after="0" w:line="240" w:lineRule="auto"/>
        <w:ind w:left="426" w:hanging="426"/>
        <w:contextualSpacing w:val="0"/>
        <w:rPr>
          <w:rFonts w:cs="Arial"/>
        </w:rPr>
      </w:pPr>
      <w:r w:rsidRPr="00102605">
        <w:rPr>
          <w:rFonts w:cs="Arial"/>
        </w:rPr>
        <w:t>a</w:t>
      </w:r>
      <w:r w:rsidRPr="00102605">
        <w:rPr>
          <w:rFonts w:cs="Arial"/>
          <w:spacing w:val="6"/>
        </w:rPr>
        <w:t xml:space="preserve"> </w:t>
      </w:r>
      <w:r w:rsidRPr="00102605">
        <w:rPr>
          <w:rFonts w:cs="Arial"/>
        </w:rPr>
        <w:t>precise</w:t>
      </w:r>
      <w:r w:rsidRPr="00102605">
        <w:rPr>
          <w:rFonts w:cs="Arial"/>
          <w:spacing w:val="8"/>
        </w:rPr>
        <w:t xml:space="preserve"> </w:t>
      </w:r>
      <w:r w:rsidRPr="00102605">
        <w:rPr>
          <w:rFonts w:cs="Arial"/>
        </w:rPr>
        <w:t>description,</w:t>
      </w:r>
      <w:r w:rsidRPr="00102605">
        <w:rPr>
          <w:rFonts w:cs="Arial"/>
          <w:spacing w:val="5"/>
        </w:rPr>
        <w:t xml:space="preserve"> </w:t>
      </w:r>
      <w:r w:rsidRPr="00102605">
        <w:rPr>
          <w:rFonts w:cs="Arial"/>
        </w:rPr>
        <w:t>with</w:t>
      </w:r>
      <w:r w:rsidRPr="00102605">
        <w:rPr>
          <w:rFonts w:cs="Arial"/>
          <w:spacing w:val="5"/>
        </w:rPr>
        <w:t xml:space="preserve"> </w:t>
      </w:r>
      <w:r w:rsidRPr="00102605">
        <w:rPr>
          <w:rFonts w:cs="Arial"/>
        </w:rPr>
        <w:t>technical</w:t>
      </w:r>
      <w:r w:rsidRPr="00102605">
        <w:rPr>
          <w:rFonts w:cs="Arial"/>
          <w:spacing w:val="7"/>
        </w:rPr>
        <w:t xml:space="preserve"> </w:t>
      </w:r>
      <w:r w:rsidRPr="00102605">
        <w:rPr>
          <w:rFonts w:cs="Arial"/>
        </w:rPr>
        <w:t>details,</w:t>
      </w:r>
      <w:r w:rsidRPr="00102605">
        <w:rPr>
          <w:rFonts w:cs="Arial"/>
          <w:spacing w:val="7"/>
        </w:rPr>
        <w:t xml:space="preserve"> </w:t>
      </w:r>
      <w:r w:rsidRPr="00102605">
        <w:rPr>
          <w:rFonts w:cs="Arial"/>
        </w:rPr>
        <w:t>of</w:t>
      </w:r>
      <w:r w:rsidRPr="00102605">
        <w:rPr>
          <w:rFonts w:cs="Arial"/>
          <w:spacing w:val="4"/>
        </w:rPr>
        <w:t xml:space="preserve"> </w:t>
      </w:r>
      <w:r w:rsidRPr="00102605">
        <w:rPr>
          <w:rFonts w:cs="Arial"/>
        </w:rPr>
        <w:t>the</w:t>
      </w:r>
      <w:r w:rsidRPr="00102605">
        <w:rPr>
          <w:rFonts w:cs="Arial"/>
          <w:spacing w:val="7"/>
        </w:rPr>
        <w:t xml:space="preserve"> </w:t>
      </w:r>
      <w:r w:rsidRPr="00102605">
        <w:rPr>
          <w:rFonts w:cs="Arial"/>
        </w:rPr>
        <w:t>types</w:t>
      </w:r>
      <w:r w:rsidRPr="00102605">
        <w:rPr>
          <w:rFonts w:cs="Arial"/>
          <w:spacing w:val="8"/>
        </w:rPr>
        <w:t xml:space="preserve"> </w:t>
      </w:r>
      <w:r w:rsidRPr="00102605">
        <w:rPr>
          <w:rFonts w:cs="Arial"/>
        </w:rPr>
        <w:t>of</w:t>
      </w:r>
      <w:r w:rsidRPr="00102605">
        <w:rPr>
          <w:rFonts w:cs="Arial"/>
          <w:spacing w:val="7"/>
        </w:rPr>
        <w:t xml:space="preserve"> </w:t>
      </w:r>
      <w:proofErr w:type="gramStart"/>
      <w:r w:rsidRPr="00102605">
        <w:rPr>
          <w:rFonts w:cs="Arial"/>
        </w:rPr>
        <w:t>follow-up</w:t>
      </w:r>
      <w:proofErr w:type="gramEnd"/>
      <w:r w:rsidRPr="00102605">
        <w:rPr>
          <w:rFonts w:cs="Arial"/>
        </w:rPr>
        <w:t>,</w:t>
      </w:r>
      <w:r w:rsidRPr="00102605">
        <w:rPr>
          <w:rFonts w:cs="Arial"/>
          <w:spacing w:val="7"/>
        </w:rPr>
        <w:t xml:space="preserve"> </w:t>
      </w:r>
      <w:r w:rsidRPr="00102605">
        <w:rPr>
          <w:rFonts w:cs="Arial"/>
        </w:rPr>
        <w:t>indicators,</w:t>
      </w:r>
      <w:r w:rsidRPr="00102605">
        <w:rPr>
          <w:rFonts w:cs="Arial"/>
          <w:spacing w:val="4"/>
        </w:rPr>
        <w:t xml:space="preserve"> </w:t>
      </w:r>
      <w:r w:rsidRPr="00102605">
        <w:rPr>
          <w:rFonts w:cs="Arial"/>
        </w:rPr>
        <w:t>supervising</w:t>
      </w:r>
      <w:r w:rsidRPr="00102605">
        <w:rPr>
          <w:rFonts w:cs="Arial"/>
          <w:spacing w:val="-46"/>
        </w:rPr>
        <w:t xml:space="preserve"> </w:t>
      </w:r>
      <w:r w:rsidRPr="00102605">
        <w:rPr>
          <w:rFonts w:cs="Arial"/>
        </w:rPr>
        <w:t>measures, including</w:t>
      </w:r>
      <w:r w:rsidRPr="00102605">
        <w:rPr>
          <w:rFonts w:cs="Arial"/>
          <w:spacing w:val="20"/>
        </w:rPr>
        <w:t xml:space="preserve"> </w:t>
      </w:r>
      <w:r w:rsidRPr="00102605">
        <w:rPr>
          <w:rFonts w:cs="Arial"/>
        </w:rPr>
        <w:t>where</w:t>
      </w:r>
      <w:r w:rsidRPr="00102605">
        <w:rPr>
          <w:rFonts w:cs="Arial"/>
          <w:spacing w:val="20"/>
        </w:rPr>
        <w:t xml:space="preserve"> </w:t>
      </w:r>
      <w:r w:rsidRPr="00102605">
        <w:rPr>
          <w:rFonts w:cs="Arial"/>
        </w:rPr>
        <w:t>applicable,</w:t>
      </w:r>
      <w:r w:rsidRPr="00102605">
        <w:rPr>
          <w:rFonts w:cs="Arial"/>
          <w:spacing w:val="20"/>
        </w:rPr>
        <w:t xml:space="preserve"> </w:t>
      </w:r>
      <w:r w:rsidRPr="00102605">
        <w:rPr>
          <w:rFonts w:cs="Arial"/>
        </w:rPr>
        <w:t>parameters</w:t>
      </w:r>
      <w:r w:rsidRPr="00102605">
        <w:rPr>
          <w:rFonts w:cs="Arial"/>
          <w:spacing w:val="18"/>
        </w:rPr>
        <w:t xml:space="preserve"> </w:t>
      </w:r>
      <w:r w:rsidRPr="00102605">
        <w:rPr>
          <w:rFonts w:cs="Arial"/>
        </w:rPr>
        <w:t>to</w:t>
      </w:r>
      <w:r w:rsidRPr="00102605">
        <w:rPr>
          <w:rFonts w:cs="Arial"/>
          <w:spacing w:val="68"/>
        </w:rPr>
        <w:t xml:space="preserve"> </w:t>
      </w:r>
      <w:r w:rsidRPr="00102605">
        <w:rPr>
          <w:rFonts w:cs="Arial"/>
        </w:rPr>
        <w:t>measure,</w:t>
      </w:r>
      <w:r w:rsidRPr="00102605">
        <w:rPr>
          <w:rFonts w:cs="Arial"/>
          <w:spacing w:val="69"/>
        </w:rPr>
        <w:t xml:space="preserve"> </w:t>
      </w:r>
      <w:r w:rsidRPr="00102605">
        <w:rPr>
          <w:rFonts w:cs="Arial"/>
        </w:rPr>
        <w:t>methods</w:t>
      </w:r>
      <w:r w:rsidRPr="00102605">
        <w:rPr>
          <w:rFonts w:cs="Arial"/>
          <w:spacing w:val="70"/>
        </w:rPr>
        <w:t xml:space="preserve"> </w:t>
      </w:r>
      <w:r w:rsidRPr="00102605">
        <w:rPr>
          <w:rFonts w:cs="Arial"/>
        </w:rPr>
        <w:t>to use,</w:t>
      </w:r>
      <w:r w:rsidRPr="00102605">
        <w:rPr>
          <w:rFonts w:cs="Arial"/>
          <w:spacing w:val="70"/>
        </w:rPr>
        <w:t xml:space="preserve"> </w:t>
      </w:r>
      <w:r w:rsidRPr="00102605">
        <w:rPr>
          <w:rFonts w:cs="Arial"/>
        </w:rPr>
        <w:t>places</w:t>
      </w:r>
      <w:r w:rsidRPr="00102605">
        <w:rPr>
          <w:rFonts w:cs="Arial"/>
          <w:spacing w:val="69"/>
        </w:rPr>
        <w:t xml:space="preserve"> </w:t>
      </w:r>
      <w:r w:rsidRPr="00102605">
        <w:rPr>
          <w:rFonts w:cs="Arial"/>
        </w:rPr>
        <w:t>to</w:t>
      </w:r>
      <w:r w:rsidRPr="00102605">
        <w:rPr>
          <w:rFonts w:cs="Arial"/>
          <w:spacing w:val="71"/>
        </w:rPr>
        <w:t xml:space="preserve"> </w:t>
      </w:r>
      <w:r w:rsidRPr="00102605">
        <w:rPr>
          <w:rFonts w:cs="Arial"/>
        </w:rPr>
        <w:t>take samples,</w:t>
      </w:r>
      <w:r w:rsidRPr="00102605">
        <w:rPr>
          <w:rFonts w:cs="Arial"/>
          <w:spacing w:val="10"/>
        </w:rPr>
        <w:t xml:space="preserve"> </w:t>
      </w:r>
      <w:r w:rsidRPr="00102605">
        <w:rPr>
          <w:rFonts w:cs="Arial"/>
        </w:rPr>
        <w:t>frequency</w:t>
      </w:r>
      <w:r w:rsidRPr="00102605">
        <w:rPr>
          <w:rFonts w:cs="Arial"/>
          <w:spacing w:val="9"/>
        </w:rPr>
        <w:t xml:space="preserve"> </w:t>
      </w:r>
      <w:r w:rsidRPr="00102605">
        <w:rPr>
          <w:rFonts w:cs="Arial"/>
        </w:rPr>
        <w:t>of</w:t>
      </w:r>
      <w:r w:rsidRPr="00102605">
        <w:rPr>
          <w:rFonts w:cs="Arial"/>
          <w:spacing w:val="8"/>
        </w:rPr>
        <w:t xml:space="preserve"> </w:t>
      </w:r>
      <w:r w:rsidRPr="00102605">
        <w:rPr>
          <w:rFonts w:cs="Arial"/>
        </w:rPr>
        <w:t>measures,</w:t>
      </w:r>
      <w:r w:rsidRPr="00102605">
        <w:rPr>
          <w:rFonts w:cs="Arial"/>
          <w:spacing w:val="12"/>
        </w:rPr>
        <w:t xml:space="preserve"> </w:t>
      </w:r>
      <w:r w:rsidRPr="00102605">
        <w:rPr>
          <w:rFonts w:cs="Arial"/>
        </w:rPr>
        <w:t>duration,</w:t>
      </w:r>
      <w:r w:rsidRPr="00102605">
        <w:rPr>
          <w:rFonts w:cs="Arial"/>
          <w:spacing w:val="10"/>
        </w:rPr>
        <w:t xml:space="preserve"> </w:t>
      </w:r>
      <w:r w:rsidRPr="00102605">
        <w:rPr>
          <w:rFonts w:cs="Arial"/>
        </w:rPr>
        <w:t>detecting</w:t>
      </w:r>
      <w:r w:rsidRPr="00102605">
        <w:rPr>
          <w:rFonts w:cs="Arial"/>
          <w:spacing w:val="10"/>
        </w:rPr>
        <w:t xml:space="preserve"> </w:t>
      </w:r>
      <w:r w:rsidRPr="00102605">
        <w:rPr>
          <w:rFonts w:cs="Arial"/>
        </w:rPr>
        <w:t>limit</w:t>
      </w:r>
      <w:r w:rsidRPr="00102605">
        <w:rPr>
          <w:rFonts w:cs="Arial"/>
          <w:spacing w:val="11"/>
        </w:rPr>
        <w:t xml:space="preserve"> </w:t>
      </w:r>
      <w:r w:rsidRPr="00102605">
        <w:rPr>
          <w:rFonts w:cs="Arial"/>
        </w:rPr>
        <w:t>(where</w:t>
      </w:r>
      <w:r w:rsidRPr="00102605">
        <w:rPr>
          <w:rFonts w:cs="Arial"/>
          <w:spacing w:val="13"/>
        </w:rPr>
        <w:t xml:space="preserve"> </w:t>
      </w:r>
      <w:r w:rsidRPr="00102605">
        <w:rPr>
          <w:rFonts w:cs="Arial"/>
        </w:rPr>
        <w:t>applicable),</w:t>
      </w:r>
      <w:r w:rsidRPr="00102605">
        <w:rPr>
          <w:rFonts w:cs="Arial"/>
          <w:spacing w:val="11"/>
        </w:rPr>
        <w:t xml:space="preserve"> </w:t>
      </w:r>
      <w:r w:rsidRPr="00102605">
        <w:rPr>
          <w:rFonts w:cs="Arial"/>
        </w:rPr>
        <w:t>and</w:t>
      </w:r>
      <w:r w:rsidRPr="00102605">
        <w:rPr>
          <w:rFonts w:cs="Arial"/>
          <w:spacing w:val="9"/>
        </w:rPr>
        <w:t xml:space="preserve"> </w:t>
      </w:r>
      <w:r w:rsidRPr="00102605">
        <w:rPr>
          <w:rFonts w:cs="Arial"/>
        </w:rPr>
        <w:t>definition</w:t>
      </w:r>
      <w:r w:rsidRPr="00102605">
        <w:rPr>
          <w:rFonts w:cs="Arial"/>
          <w:spacing w:val="-46"/>
        </w:rPr>
        <w:t xml:space="preserve"> </w:t>
      </w:r>
      <w:r w:rsidRPr="00102605">
        <w:rPr>
          <w:rFonts w:cs="Arial"/>
        </w:rPr>
        <w:t>of</w:t>
      </w:r>
      <w:r w:rsidRPr="00102605">
        <w:rPr>
          <w:rFonts w:cs="Arial"/>
          <w:spacing w:val="-1"/>
        </w:rPr>
        <w:t xml:space="preserve"> </w:t>
      </w:r>
      <w:r w:rsidRPr="00102605">
        <w:rPr>
          <w:rFonts w:cs="Arial"/>
        </w:rPr>
        <w:t>thresholds indicating</w:t>
      </w:r>
      <w:r w:rsidRPr="00102605">
        <w:rPr>
          <w:rFonts w:cs="Arial"/>
          <w:spacing w:val="-1"/>
        </w:rPr>
        <w:t xml:space="preserve"> </w:t>
      </w:r>
      <w:r w:rsidRPr="00102605">
        <w:rPr>
          <w:rFonts w:cs="Arial"/>
        </w:rPr>
        <w:t>the</w:t>
      </w:r>
      <w:r w:rsidRPr="00102605">
        <w:rPr>
          <w:rFonts w:cs="Arial"/>
          <w:spacing w:val="-2"/>
        </w:rPr>
        <w:t xml:space="preserve"> </w:t>
      </w:r>
      <w:r w:rsidRPr="00102605">
        <w:rPr>
          <w:rFonts w:cs="Arial"/>
        </w:rPr>
        <w:t>need</w:t>
      </w:r>
      <w:r w:rsidRPr="00102605">
        <w:rPr>
          <w:rFonts w:cs="Arial"/>
          <w:spacing w:val="-2"/>
        </w:rPr>
        <w:t xml:space="preserve"> </w:t>
      </w:r>
      <w:r w:rsidRPr="00102605">
        <w:rPr>
          <w:rFonts w:cs="Arial"/>
        </w:rPr>
        <w:t>of corrective</w:t>
      </w:r>
      <w:r w:rsidRPr="00102605">
        <w:rPr>
          <w:rFonts w:cs="Arial"/>
          <w:spacing w:val="-2"/>
        </w:rPr>
        <w:t xml:space="preserve"> </w:t>
      </w:r>
      <w:r w:rsidRPr="00102605">
        <w:rPr>
          <w:rFonts w:cs="Arial"/>
        </w:rPr>
        <w:t>measures.</w:t>
      </w:r>
    </w:p>
    <w:p w14:paraId="63C14575" w14:textId="77777777" w:rsidR="00961383" w:rsidRPr="00102605" w:rsidRDefault="00961383" w:rsidP="0045715B">
      <w:pPr>
        <w:pStyle w:val="Prrafodelista"/>
        <w:widowControl w:val="0"/>
        <w:numPr>
          <w:ilvl w:val="0"/>
          <w:numId w:val="12"/>
        </w:numPr>
        <w:tabs>
          <w:tab w:val="left" w:pos="426"/>
        </w:tabs>
        <w:autoSpaceDE w:val="0"/>
        <w:autoSpaceDN w:val="0"/>
        <w:spacing w:after="0" w:line="240" w:lineRule="auto"/>
        <w:ind w:left="426" w:hanging="426"/>
        <w:contextualSpacing w:val="0"/>
        <w:rPr>
          <w:rFonts w:cs="Arial"/>
        </w:rPr>
      </w:pPr>
      <w:r w:rsidRPr="00102605">
        <w:rPr>
          <w:rFonts w:cs="Arial"/>
        </w:rPr>
        <w:t>a</w:t>
      </w:r>
      <w:r w:rsidRPr="00102605">
        <w:rPr>
          <w:rFonts w:cs="Arial"/>
          <w:spacing w:val="24"/>
        </w:rPr>
        <w:t xml:space="preserve"> </w:t>
      </w:r>
      <w:r w:rsidRPr="00102605">
        <w:rPr>
          <w:rFonts w:cs="Arial"/>
        </w:rPr>
        <w:t>description</w:t>
      </w:r>
      <w:r w:rsidRPr="00102605">
        <w:rPr>
          <w:rFonts w:cs="Arial"/>
          <w:spacing w:val="21"/>
        </w:rPr>
        <w:t xml:space="preserve"> </w:t>
      </w:r>
      <w:r w:rsidRPr="00102605">
        <w:rPr>
          <w:rFonts w:cs="Arial"/>
        </w:rPr>
        <w:t>of</w:t>
      </w:r>
      <w:r w:rsidRPr="00102605">
        <w:rPr>
          <w:rFonts w:cs="Arial"/>
          <w:spacing w:val="25"/>
        </w:rPr>
        <w:t xml:space="preserve"> </w:t>
      </w:r>
      <w:r w:rsidRPr="00102605">
        <w:rPr>
          <w:rFonts w:cs="Arial"/>
        </w:rPr>
        <w:t>methods</w:t>
      </w:r>
      <w:r w:rsidRPr="00102605">
        <w:rPr>
          <w:rFonts w:cs="Arial"/>
          <w:spacing w:val="25"/>
        </w:rPr>
        <w:t xml:space="preserve"> </w:t>
      </w:r>
      <w:r w:rsidRPr="00102605">
        <w:rPr>
          <w:rFonts w:cs="Arial"/>
        </w:rPr>
        <w:t>to</w:t>
      </w:r>
      <w:r w:rsidRPr="00102605">
        <w:rPr>
          <w:rFonts w:cs="Arial"/>
          <w:spacing w:val="26"/>
        </w:rPr>
        <w:t xml:space="preserve"> </w:t>
      </w:r>
      <w:r w:rsidRPr="00102605">
        <w:rPr>
          <w:rFonts w:cs="Arial"/>
        </w:rPr>
        <w:t>implement</w:t>
      </w:r>
      <w:r w:rsidRPr="00102605">
        <w:rPr>
          <w:rFonts w:cs="Arial"/>
          <w:spacing w:val="23"/>
        </w:rPr>
        <w:t xml:space="preserve"> </w:t>
      </w:r>
      <w:r w:rsidRPr="00102605">
        <w:rPr>
          <w:rFonts w:cs="Arial"/>
        </w:rPr>
        <w:t>monitoring</w:t>
      </w:r>
      <w:r w:rsidRPr="00102605">
        <w:rPr>
          <w:rFonts w:cs="Arial"/>
          <w:spacing w:val="24"/>
        </w:rPr>
        <w:t>:</w:t>
      </w:r>
      <w:r w:rsidRPr="00102605">
        <w:rPr>
          <w:rFonts w:cs="Arial"/>
          <w:spacing w:val="26"/>
        </w:rPr>
        <w:t xml:space="preserve"> </w:t>
      </w:r>
      <w:r w:rsidRPr="00102605">
        <w:rPr>
          <w:rFonts w:cs="Arial"/>
        </w:rPr>
        <w:t>supervision</w:t>
      </w:r>
      <w:r w:rsidRPr="00102605">
        <w:rPr>
          <w:rFonts w:cs="Arial"/>
          <w:spacing w:val="24"/>
        </w:rPr>
        <w:t xml:space="preserve"> </w:t>
      </w:r>
      <w:r w:rsidRPr="00102605">
        <w:rPr>
          <w:rFonts w:cs="Arial"/>
        </w:rPr>
        <w:t>procedures,</w:t>
      </w:r>
      <w:r w:rsidRPr="00102605">
        <w:rPr>
          <w:rFonts w:cs="Arial"/>
          <w:spacing w:val="25"/>
        </w:rPr>
        <w:t xml:space="preserve"> </w:t>
      </w:r>
      <w:r w:rsidRPr="00102605">
        <w:rPr>
          <w:rFonts w:cs="Arial"/>
        </w:rPr>
        <w:t>drafting</w:t>
      </w:r>
      <w:r w:rsidRPr="00102605">
        <w:rPr>
          <w:rFonts w:cs="Arial"/>
          <w:spacing w:val="-47"/>
        </w:rPr>
        <w:t xml:space="preserve"> </w:t>
      </w:r>
      <w:r w:rsidRPr="00102605">
        <w:rPr>
          <w:rFonts w:cs="Arial"/>
        </w:rPr>
        <w:t>monitoring</w:t>
      </w:r>
      <w:r w:rsidRPr="00102605">
        <w:rPr>
          <w:rFonts w:cs="Arial"/>
          <w:spacing w:val="-2"/>
        </w:rPr>
        <w:t xml:space="preserve"> </w:t>
      </w:r>
      <w:r w:rsidRPr="00102605">
        <w:rPr>
          <w:rFonts w:cs="Arial"/>
        </w:rPr>
        <w:t>reports (regular</w:t>
      </w:r>
      <w:r w:rsidRPr="00102605">
        <w:rPr>
          <w:rFonts w:cs="Arial"/>
          <w:spacing w:val="-4"/>
        </w:rPr>
        <w:t xml:space="preserve"> </w:t>
      </w:r>
      <w:r w:rsidRPr="00102605">
        <w:rPr>
          <w:rFonts w:cs="Arial"/>
        </w:rPr>
        <w:t>monitoring,</w:t>
      </w:r>
      <w:r w:rsidRPr="00102605">
        <w:rPr>
          <w:rFonts w:cs="Arial"/>
          <w:spacing w:val="-3"/>
        </w:rPr>
        <w:t xml:space="preserve"> </w:t>
      </w:r>
      <w:r w:rsidRPr="00102605">
        <w:rPr>
          <w:rFonts w:cs="Arial"/>
        </w:rPr>
        <w:t>accident</w:t>
      </w:r>
      <w:r w:rsidRPr="00102605">
        <w:rPr>
          <w:rFonts w:cs="Arial"/>
          <w:spacing w:val="-3"/>
        </w:rPr>
        <w:t xml:space="preserve"> </w:t>
      </w:r>
      <w:r w:rsidRPr="00102605">
        <w:rPr>
          <w:rFonts w:cs="Arial"/>
        </w:rPr>
        <w:t>forms), organization</w:t>
      </w:r>
      <w:r w:rsidRPr="00102605">
        <w:rPr>
          <w:rFonts w:cs="Arial"/>
          <w:spacing w:val="-1"/>
        </w:rPr>
        <w:t xml:space="preserve"> </w:t>
      </w:r>
      <w:r w:rsidRPr="00102605">
        <w:rPr>
          <w:rFonts w:cs="Arial"/>
        </w:rPr>
        <w:t>required.</w:t>
      </w:r>
    </w:p>
    <w:p w14:paraId="0892901E" w14:textId="77777777" w:rsidR="00961383" w:rsidRPr="00102605" w:rsidRDefault="00961383" w:rsidP="0045715B">
      <w:pPr>
        <w:pStyle w:val="Textoindependiente"/>
        <w:ind w:right="415"/>
        <w:jc w:val="both"/>
        <w:rPr>
          <w:rFonts w:cs="Arial"/>
          <w:sz w:val="24"/>
          <w:szCs w:val="24"/>
          <w:lang w:val="en-GB"/>
        </w:rPr>
      </w:pPr>
    </w:p>
    <w:p w14:paraId="79AF96FA" w14:textId="77777777" w:rsidR="00961383" w:rsidRPr="00102605" w:rsidRDefault="00961383" w:rsidP="0045715B">
      <w:pPr>
        <w:spacing w:after="0" w:line="240" w:lineRule="auto"/>
        <w:rPr>
          <w:rFonts w:cs="Arial"/>
        </w:rPr>
      </w:pPr>
      <w:r w:rsidRPr="00102605">
        <w:rPr>
          <w:rFonts w:cs="Arial"/>
        </w:rPr>
        <w:t>The objective is (</w:t>
      </w:r>
      <w:proofErr w:type="spellStart"/>
      <w:r w:rsidRPr="00102605">
        <w:rPr>
          <w:rFonts w:cs="Arial"/>
        </w:rPr>
        <w:t>i</w:t>
      </w:r>
      <w:proofErr w:type="spellEnd"/>
      <w:r w:rsidRPr="00102605">
        <w:rPr>
          <w:rFonts w:cs="Arial"/>
        </w:rPr>
        <w:t>) to quickly detect conditions which require specific mitigation measures and (ii) give information on the progress made and on the outcomes within the framework of these measures.</w:t>
      </w:r>
    </w:p>
    <w:p w14:paraId="603FEAFB" w14:textId="77777777" w:rsidR="00961383" w:rsidRPr="00102605" w:rsidRDefault="00961383" w:rsidP="0045715B">
      <w:pPr>
        <w:widowControl w:val="0"/>
        <w:tabs>
          <w:tab w:val="left" w:pos="1057"/>
        </w:tabs>
        <w:autoSpaceDE w:val="0"/>
        <w:autoSpaceDN w:val="0"/>
        <w:spacing w:after="0" w:line="240" w:lineRule="auto"/>
        <w:ind w:right="411"/>
        <w:rPr>
          <w:rFonts w:cs="Arial"/>
        </w:rPr>
      </w:pPr>
    </w:p>
    <w:p w14:paraId="0F268A42" w14:textId="77777777" w:rsidR="00961383" w:rsidRPr="00102605" w:rsidRDefault="00961383" w:rsidP="0045715B">
      <w:pPr>
        <w:pStyle w:val="Prrafodelista"/>
        <w:numPr>
          <w:ilvl w:val="0"/>
          <w:numId w:val="14"/>
        </w:numPr>
        <w:spacing w:after="0" w:line="240" w:lineRule="auto"/>
        <w:rPr>
          <w:rFonts w:cs="Arial"/>
        </w:rPr>
      </w:pPr>
      <w:r w:rsidRPr="00102605">
        <w:rPr>
          <w:rFonts w:cs="Arial"/>
        </w:rPr>
        <w:t>Closing of site:</w:t>
      </w:r>
    </w:p>
    <w:p w14:paraId="5492CF1B" w14:textId="77777777" w:rsidR="00961383" w:rsidRPr="00102605" w:rsidRDefault="00961383" w:rsidP="0045715B">
      <w:pPr>
        <w:spacing w:after="0" w:line="240" w:lineRule="auto"/>
        <w:ind w:left="336"/>
        <w:rPr>
          <w:rFonts w:cs="Arial"/>
        </w:rPr>
      </w:pPr>
    </w:p>
    <w:p w14:paraId="1F202371" w14:textId="77777777" w:rsidR="00961383" w:rsidRPr="00102605" w:rsidRDefault="00961383" w:rsidP="0045715B">
      <w:pPr>
        <w:spacing w:after="0" w:line="240" w:lineRule="auto"/>
        <w:rPr>
          <w:rFonts w:cs="Arial"/>
        </w:rPr>
      </w:pPr>
      <w:r w:rsidRPr="00102605">
        <w:rPr>
          <w:rFonts w:cs="Arial"/>
        </w:rPr>
        <w:t>When a project has a limited life or when the site closes, the ESMP provides for the measures required for site closure, at the end of project life.</w:t>
      </w:r>
    </w:p>
    <w:p w14:paraId="2EFC575B" w14:textId="77777777" w:rsidR="00961383" w:rsidRPr="00102605" w:rsidRDefault="00961383" w:rsidP="0045715B">
      <w:pPr>
        <w:spacing w:after="0" w:line="240" w:lineRule="auto"/>
        <w:rPr>
          <w:rFonts w:cs="Arial"/>
        </w:rPr>
      </w:pPr>
      <w:r w:rsidRPr="00102605">
        <w:rPr>
          <w:rFonts w:cs="Arial"/>
        </w:rPr>
        <w:t>It describes:</w:t>
      </w:r>
    </w:p>
    <w:p w14:paraId="21B00578" w14:textId="77777777" w:rsidR="00961383" w:rsidRPr="00102605" w:rsidRDefault="00961383" w:rsidP="0045715B">
      <w:pPr>
        <w:pStyle w:val="Prrafodelista"/>
        <w:numPr>
          <w:ilvl w:val="0"/>
          <w:numId w:val="19"/>
        </w:numPr>
        <w:spacing w:after="0" w:line="240" w:lineRule="auto"/>
        <w:rPr>
          <w:rFonts w:cs="Arial"/>
        </w:rPr>
      </w:pPr>
      <w:r w:rsidRPr="00102605">
        <w:rPr>
          <w:rFonts w:cs="Arial"/>
        </w:rPr>
        <w:t>the technical and operational conditions of this stoppage/closure,</w:t>
      </w:r>
    </w:p>
    <w:p w14:paraId="78CE840A" w14:textId="77777777" w:rsidR="00961383" w:rsidRPr="00102605" w:rsidRDefault="00961383" w:rsidP="0045715B">
      <w:pPr>
        <w:pStyle w:val="Prrafodelista"/>
        <w:numPr>
          <w:ilvl w:val="0"/>
          <w:numId w:val="19"/>
        </w:numPr>
        <w:spacing w:after="0" w:line="240" w:lineRule="auto"/>
        <w:rPr>
          <w:rFonts w:cs="Arial"/>
        </w:rPr>
      </w:pPr>
      <w:r w:rsidRPr="00102605">
        <w:rPr>
          <w:rFonts w:cs="Arial"/>
        </w:rPr>
        <w:t>the possible conditions of dismantling equipment, buildings.</w:t>
      </w:r>
    </w:p>
    <w:p w14:paraId="25AC5D5C" w14:textId="77777777" w:rsidR="00961383" w:rsidRPr="00102605" w:rsidRDefault="00961383" w:rsidP="0045715B">
      <w:pPr>
        <w:pStyle w:val="Prrafodelista"/>
        <w:numPr>
          <w:ilvl w:val="0"/>
          <w:numId w:val="19"/>
        </w:numPr>
        <w:spacing w:after="0" w:line="240" w:lineRule="auto"/>
        <w:rPr>
          <w:rFonts w:cs="Arial"/>
        </w:rPr>
      </w:pPr>
      <w:r w:rsidRPr="00102605">
        <w:rPr>
          <w:rFonts w:cs="Arial"/>
        </w:rPr>
        <w:t>The conditions required to professionally reintegrate employees.</w:t>
      </w:r>
    </w:p>
    <w:p w14:paraId="60865149" w14:textId="77777777" w:rsidR="00961383" w:rsidRPr="00102605" w:rsidRDefault="00961383" w:rsidP="0045715B">
      <w:pPr>
        <w:spacing w:after="0" w:line="240" w:lineRule="auto"/>
        <w:rPr>
          <w:rFonts w:cs="Arial"/>
        </w:rPr>
      </w:pPr>
    </w:p>
    <w:p w14:paraId="1BE94692" w14:textId="77777777" w:rsidR="00961383" w:rsidRPr="00102605" w:rsidRDefault="00961383" w:rsidP="0045715B">
      <w:pPr>
        <w:pStyle w:val="Prrafodelista"/>
        <w:numPr>
          <w:ilvl w:val="0"/>
          <w:numId w:val="14"/>
        </w:numPr>
        <w:spacing w:after="0" w:line="240" w:lineRule="auto"/>
        <w:rPr>
          <w:rFonts w:cs="Arial"/>
        </w:rPr>
      </w:pPr>
      <w:r w:rsidRPr="00102605">
        <w:rPr>
          <w:rFonts w:cs="Arial"/>
        </w:rPr>
        <w:t>Organizational procedure:</w:t>
      </w:r>
    </w:p>
    <w:p w14:paraId="5F451BD7" w14:textId="77777777" w:rsidR="00961383" w:rsidRPr="00102605" w:rsidRDefault="00961383" w:rsidP="0045715B">
      <w:pPr>
        <w:spacing w:after="0" w:line="240" w:lineRule="auto"/>
        <w:rPr>
          <w:rFonts w:cs="Arial"/>
        </w:rPr>
      </w:pPr>
    </w:p>
    <w:p w14:paraId="2352C990" w14:textId="16397C1B" w:rsidR="00961383" w:rsidRDefault="00961383" w:rsidP="0045715B">
      <w:pPr>
        <w:pStyle w:val="StandardNew"/>
        <w:spacing w:before="0" w:after="0" w:line="240" w:lineRule="auto"/>
        <w:rPr>
          <w:sz w:val="22"/>
          <w:szCs w:val="22"/>
        </w:rPr>
      </w:pPr>
      <w:r w:rsidRPr="00102605">
        <w:rPr>
          <w:sz w:val="22"/>
          <w:szCs w:val="22"/>
        </w:rPr>
        <w:t>ESMP</w:t>
      </w:r>
      <w:r w:rsidRPr="00102605">
        <w:rPr>
          <w:spacing w:val="1"/>
          <w:sz w:val="22"/>
          <w:szCs w:val="22"/>
        </w:rPr>
        <w:t xml:space="preserve"> </w:t>
      </w:r>
      <w:r w:rsidRPr="00102605">
        <w:rPr>
          <w:sz w:val="22"/>
          <w:szCs w:val="22"/>
        </w:rPr>
        <w:t>gives</w:t>
      </w:r>
      <w:r w:rsidRPr="00102605">
        <w:rPr>
          <w:spacing w:val="1"/>
          <w:sz w:val="22"/>
          <w:szCs w:val="22"/>
        </w:rPr>
        <w:t xml:space="preserve"> </w:t>
      </w:r>
      <w:r w:rsidRPr="00102605">
        <w:rPr>
          <w:sz w:val="22"/>
          <w:szCs w:val="22"/>
        </w:rPr>
        <w:t>a</w:t>
      </w:r>
      <w:r w:rsidRPr="00102605">
        <w:rPr>
          <w:spacing w:val="1"/>
          <w:sz w:val="22"/>
          <w:szCs w:val="22"/>
        </w:rPr>
        <w:t xml:space="preserve"> </w:t>
      </w:r>
      <w:r w:rsidRPr="00102605">
        <w:rPr>
          <w:sz w:val="22"/>
          <w:szCs w:val="22"/>
        </w:rPr>
        <w:t>detailed</w:t>
      </w:r>
      <w:r w:rsidRPr="00102605">
        <w:rPr>
          <w:spacing w:val="1"/>
          <w:sz w:val="22"/>
          <w:szCs w:val="22"/>
        </w:rPr>
        <w:t xml:space="preserve"> </w:t>
      </w:r>
      <w:r w:rsidRPr="00102605">
        <w:rPr>
          <w:sz w:val="22"/>
          <w:szCs w:val="22"/>
        </w:rPr>
        <w:t>description</w:t>
      </w:r>
      <w:r w:rsidRPr="00102605">
        <w:rPr>
          <w:spacing w:val="1"/>
          <w:sz w:val="22"/>
          <w:szCs w:val="22"/>
        </w:rPr>
        <w:t xml:space="preserve"> </w:t>
      </w:r>
      <w:r w:rsidRPr="00102605">
        <w:rPr>
          <w:sz w:val="22"/>
          <w:szCs w:val="22"/>
        </w:rPr>
        <w:t>of</w:t>
      </w:r>
      <w:r w:rsidRPr="00102605">
        <w:rPr>
          <w:spacing w:val="1"/>
          <w:sz w:val="22"/>
          <w:szCs w:val="22"/>
        </w:rPr>
        <w:t xml:space="preserve"> </w:t>
      </w:r>
      <w:r w:rsidRPr="00102605">
        <w:rPr>
          <w:sz w:val="22"/>
          <w:szCs w:val="22"/>
        </w:rPr>
        <w:t>the</w:t>
      </w:r>
      <w:r w:rsidRPr="00102605">
        <w:rPr>
          <w:spacing w:val="1"/>
          <w:sz w:val="22"/>
          <w:szCs w:val="22"/>
        </w:rPr>
        <w:t xml:space="preserve"> </w:t>
      </w:r>
      <w:r w:rsidRPr="00102605">
        <w:rPr>
          <w:sz w:val="22"/>
          <w:szCs w:val="22"/>
        </w:rPr>
        <w:t>institutional</w:t>
      </w:r>
      <w:r w:rsidRPr="00102605">
        <w:rPr>
          <w:spacing w:val="1"/>
          <w:sz w:val="22"/>
          <w:szCs w:val="22"/>
        </w:rPr>
        <w:t xml:space="preserve"> </w:t>
      </w:r>
      <w:r w:rsidRPr="00102605">
        <w:rPr>
          <w:sz w:val="22"/>
          <w:szCs w:val="22"/>
        </w:rPr>
        <w:t>provisions</w:t>
      </w:r>
      <w:r w:rsidRPr="00102605">
        <w:rPr>
          <w:spacing w:val="1"/>
          <w:sz w:val="22"/>
          <w:szCs w:val="22"/>
        </w:rPr>
        <w:t xml:space="preserve"> </w:t>
      </w:r>
      <w:r w:rsidRPr="00102605">
        <w:rPr>
          <w:sz w:val="22"/>
          <w:szCs w:val="22"/>
        </w:rPr>
        <w:t>which</w:t>
      </w:r>
      <w:r w:rsidRPr="00102605">
        <w:rPr>
          <w:spacing w:val="1"/>
          <w:sz w:val="22"/>
          <w:szCs w:val="22"/>
        </w:rPr>
        <w:t xml:space="preserve"> </w:t>
      </w:r>
      <w:r w:rsidRPr="00102605">
        <w:rPr>
          <w:sz w:val="22"/>
          <w:szCs w:val="22"/>
        </w:rPr>
        <w:t>are</w:t>
      </w:r>
      <w:r w:rsidRPr="00102605">
        <w:rPr>
          <w:spacing w:val="1"/>
          <w:sz w:val="22"/>
          <w:szCs w:val="22"/>
        </w:rPr>
        <w:t xml:space="preserve"> </w:t>
      </w:r>
      <w:r w:rsidRPr="00102605">
        <w:rPr>
          <w:sz w:val="22"/>
          <w:szCs w:val="22"/>
        </w:rPr>
        <w:t>necessary</w:t>
      </w:r>
      <w:r w:rsidRPr="00102605">
        <w:rPr>
          <w:spacing w:val="1"/>
          <w:sz w:val="22"/>
          <w:szCs w:val="22"/>
        </w:rPr>
        <w:t xml:space="preserve"> </w:t>
      </w:r>
      <w:r w:rsidRPr="00102605">
        <w:rPr>
          <w:sz w:val="22"/>
          <w:szCs w:val="22"/>
        </w:rPr>
        <w:t>for</w:t>
      </w:r>
      <w:r w:rsidRPr="00102605">
        <w:rPr>
          <w:spacing w:val="1"/>
          <w:sz w:val="22"/>
          <w:szCs w:val="22"/>
        </w:rPr>
        <w:t xml:space="preserve"> </w:t>
      </w:r>
      <w:r w:rsidRPr="00102605">
        <w:rPr>
          <w:sz w:val="22"/>
          <w:szCs w:val="22"/>
        </w:rPr>
        <w:t>the</w:t>
      </w:r>
      <w:r w:rsidRPr="00102605">
        <w:rPr>
          <w:spacing w:val="1"/>
          <w:sz w:val="22"/>
          <w:szCs w:val="22"/>
        </w:rPr>
        <w:t xml:space="preserve"> </w:t>
      </w:r>
      <w:r w:rsidRPr="00102605">
        <w:rPr>
          <w:sz w:val="22"/>
          <w:szCs w:val="22"/>
        </w:rPr>
        <w:t>implementation of the mitigation and monitoring measures, either during works or after completion</w:t>
      </w:r>
      <w:r w:rsidRPr="00102605">
        <w:rPr>
          <w:spacing w:val="1"/>
          <w:sz w:val="22"/>
          <w:szCs w:val="22"/>
        </w:rPr>
        <w:t xml:space="preserve"> </w:t>
      </w:r>
      <w:r w:rsidRPr="00102605">
        <w:rPr>
          <w:sz w:val="22"/>
          <w:szCs w:val="22"/>
        </w:rPr>
        <w:t>of the project. It gives precise information on who (organisms or people) will be responsible for the</w:t>
      </w:r>
      <w:r w:rsidRPr="00102605">
        <w:rPr>
          <w:spacing w:val="1"/>
          <w:sz w:val="22"/>
          <w:szCs w:val="22"/>
        </w:rPr>
        <w:t xml:space="preserve"> </w:t>
      </w:r>
      <w:r w:rsidRPr="00102605">
        <w:rPr>
          <w:sz w:val="22"/>
          <w:szCs w:val="22"/>
        </w:rPr>
        <w:t>implementation</w:t>
      </w:r>
      <w:r w:rsidRPr="00102605">
        <w:rPr>
          <w:spacing w:val="1"/>
          <w:sz w:val="22"/>
          <w:szCs w:val="22"/>
        </w:rPr>
        <w:t xml:space="preserve"> </w:t>
      </w:r>
      <w:r w:rsidRPr="00102605">
        <w:rPr>
          <w:sz w:val="22"/>
          <w:szCs w:val="22"/>
        </w:rPr>
        <w:t>of</w:t>
      </w:r>
      <w:r w:rsidRPr="00102605">
        <w:rPr>
          <w:spacing w:val="1"/>
          <w:sz w:val="22"/>
          <w:szCs w:val="22"/>
        </w:rPr>
        <w:t xml:space="preserve"> </w:t>
      </w:r>
      <w:r w:rsidRPr="00102605">
        <w:rPr>
          <w:sz w:val="22"/>
          <w:szCs w:val="22"/>
        </w:rPr>
        <w:t>these</w:t>
      </w:r>
      <w:r w:rsidRPr="00102605">
        <w:rPr>
          <w:spacing w:val="1"/>
          <w:sz w:val="22"/>
          <w:szCs w:val="22"/>
        </w:rPr>
        <w:t xml:space="preserve"> </w:t>
      </w:r>
      <w:r w:rsidRPr="00102605">
        <w:rPr>
          <w:sz w:val="22"/>
          <w:szCs w:val="22"/>
        </w:rPr>
        <w:t>measures</w:t>
      </w:r>
      <w:r w:rsidRPr="00102605">
        <w:rPr>
          <w:spacing w:val="1"/>
          <w:sz w:val="22"/>
          <w:szCs w:val="22"/>
        </w:rPr>
        <w:t xml:space="preserve"> </w:t>
      </w:r>
      <w:r w:rsidRPr="00102605">
        <w:rPr>
          <w:sz w:val="22"/>
          <w:szCs w:val="22"/>
        </w:rPr>
        <w:t>concerning</w:t>
      </w:r>
      <w:r w:rsidRPr="00102605">
        <w:rPr>
          <w:spacing w:val="1"/>
          <w:sz w:val="22"/>
          <w:szCs w:val="22"/>
        </w:rPr>
        <w:t xml:space="preserve"> </w:t>
      </w:r>
      <w:r w:rsidRPr="00102605">
        <w:rPr>
          <w:sz w:val="22"/>
          <w:szCs w:val="22"/>
        </w:rPr>
        <w:t>for</w:t>
      </w:r>
      <w:r w:rsidRPr="00102605">
        <w:rPr>
          <w:spacing w:val="1"/>
          <w:sz w:val="22"/>
          <w:szCs w:val="22"/>
        </w:rPr>
        <w:t xml:space="preserve"> </w:t>
      </w:r>
      <w:r w:rsidRPr="00102605">
        <w:rPr>
          <w:sz w:val="22"/>
          <w:szCs w:val="22"/>
        </w:rPr>
        <w:t>example,</w:t>
      </w:r>
      <w:r w:rsidRPr="00102605">
        <w:rPr>
          <w:spacing w:val="1"/>
          <w:sz w:val="22"/>
          <w:szCs w:val="22"/>
        </w:rPr>
        <w:t xml:space="preserve"> </w:t>
      </w:r>
      <w:r w:rsidRPr="00102605">
        <w:rPr>
          <w:sz w:val="22"/>
          <w:szCs w:val="22"/>
        </w:rPr>
        <w:t>operating,</w:t>
      </w:r>
      <w:r w:rsidRPr="00102605">
        <w:rPr>
          <w:spacing w:val="1"/>
          <w:sz w:val="22"/>
          <w:szCs w:val="22"/>
        </w:rPr>
        <w:t xml:space="preserve"> </w:t>
      </w:r>
      <w:r w:rsidRPr="00102605">
        <w:rPr>
          <w:sz w:val="22"/>
          <w:szCs w:val="22"/>
        </w:rPr>
        <w:t>supervision,</w:t>
      </w:r>
      <w:r w:rsidRPr="00102605">
        <w:rPr>
          <w:spacing w:val="1"/>
          <w:sz w:val="22"/>
          <w:szCs w:val="22"/>
        </w:rPr>
        <w:t xml:space="preserve"> </w:t>
      </w:r>
      <w:r w:rsidRPr="00102605">
        <w:rPr>
          <w:sz w:val="22"/>
          <w:szCs w:val="22"/>
        </w:rPr>
        <w:t>checking</w:t>
      </w:r>
      <w:r w:rsidRPr="00102605">
        <w:rPr>
          <w:spacing w:val="1"/>
          <w:sz w:val="22"/>
          <w:szCs w:val="22"/>
        </w:rPr>
        <w:t xml:space="preserve"> </w:t>
      </w:r>
      <w:r w:rsidRPr="00102605">
        <w:rPr>
          <w:sz w:val="22"/>
          <w:szCs w:val="22"/>
        </w:rPr>
        <w:t>of</w:t>
      </w:r>
      <w:r w:rsidRPr="00102605">
        <w:rPr>
          <w:spacing w:val="1"/>
          <w:sz w:val="22"/>
          <w:szCs w:val="22"/>
        </w:rPr>
        <w:t xml:space="preserve"> </w:t>
      </w:r>
      <w:r w:rsidRPr="00102605">
        <w:rPr>
          <w:sz w:val="22"/>
          <w:szCs w:val="22"/>
        </w:rPr>
        <w:t>application, follow-up of implementation, corrective measures, financing, drafting reports and staff</w:t>
      </w:r>
      <w:r w:rsidRPr="00102605">
        <w:rPr>
          <w:spacing w:val="1"/>
          <w:sz w:val="22"/>
          <w:szCs w:val="22"/>
        </w:rPr>
        <w:t xml:space="preserve"> </w:t>
      </w:r>
      <w:r w:rsidRPr="00102605">
        <w:rPr>
          <w:sz w:val="22"/>
          <w:szCs w:val="22"/>
        </w:rPr>
        <w:t>training.</w:t>
      </w:r>
    </w:p>
    <w:p w14:paraId="365AC810" w14:textId="77777777" w:rsidR="0045715B" w:rsidRPr="00102605" w:rsidRDefault="0045715B" w:rsidP="0045715B">
      <w:pPr>
        <w:pStyle w:val="StandardNew"/>
        <w:spacing w:before="0" w:after="0" w:line="240" w:lineRule="auto"/>
        <w:rPr>
          <w:sz w:val="22"/>
          <w:szCs w:val="22"/>
        </w:rPr>
      </w:pPr>
    </w:p>
    <w:p w14:paraId="3A0B4CCA" w14:textId="6C41BF14" w:rsidR="00961383" w:rsidRDefault="00961383" w:rsidP="0045715B">
      <w:pPr>
        <w:pStyle w:val="StandardNew"/>
        <w:spacing w:before="0" w:after="0" w:line="240" w:lineRule="auto"/>
        <w:rPr>
          <w:sz w:val="22"/>
          <w:szCs w:val="22"/>
        </w:rPr>
      </w:pPr>
      <w:r w:rsidRPr="00102605">
        <w:rPr>
          <w:sz w:val="22"/>
          <w:szCs w:val="22"/>
        </w:rPr>
        <w:t>Where applicable, ESMP covers the following subjects: a) technical assistance: b) procurement and c)</w:t>
      </w:r>
      <w:r w:rsidRPr="00102605">
        <w:rPr>
          <w:spacing w:val="-47"/>
          <w:sz w:val="22"/>
          <w:szCs w:val="22"/>
        </w:rPr>
        <w:t xml:space="preserve"> </w:t>
      </w:r>
      <w:r w:rsidR="009820AC" w:rsidRPr="00102605">
        <w:rPr>
          <w:spacing w:val="-47"/>
          <w:sz w:val="22"/>
          <w:szCs w:val="22"/>
        </w:rPr>
        <w:t xml:space="preserve"> </w:t>
      </w:r>
      <w:r w:rsidR="009D1A70">
        <w:rPr>
          <w:spacing w:val="-47"/>
          <w:sz w:val="22"/>
          <w:szCs w:val="22"/>
        </w:rPr>
        <w:t xml:space="preserve"> </w:t>
      </w:r>
      <w:r w:rsidRPr="00102605">
        <w:rPr>
          <w:sz w:val="22"/>
          <w:szCs w:val="22"/>
        </w:rPr>
        <w:t>organizational</w:t>
      </w:r>
      <w:r w:rsidRPr="00102605">
        <w:rPr>
          <w:spacing w:val="-3"/>
          <w:sz w:val="22"/>
          <w:szCs w:val="22"/>
        </w:rPr>
        <w:t xml:space="preserve"> </w:t>
      </w:r>
      <w:r w:rsidRPr="00102605">
        <w:rPr>
          <w:sz w:val="22"/>
          <w:szCs w:val="22"/>
        </w:rPr>
        <w:t>methods</w:t>
      </w:r>
      <w:r w:rsidRPr="00102605">
        <w:rPr>
          <w:spacing w:val="-3"/>
          <w:sz w:val="22"/>
          <w:szCs w:val="22"/>
        </w:rPr>
        <w:t xml:space="preserve"> </w:t>
      </w:r>
      <w:r w:rsidRPr="00102605">
        <w:rPr>
          <w:sz w:val="22"/>
          <w:szCs w:val="22"/>
        </w:rPr>
        <w:t>implemented by</w:t>
      </w:r>
      <w:r w:rsidRPr="00102605">
        <w:rPr>
          <w:spacing w:val="-3"/>
          <w:sz w:val="22"/>
          <w:szCs w:val="22"/>
        </w:rPr>
        <w:t xml:space="preserve"> </w:t>
      </w:r>
      <w:r w:rsidRPr="00102605">
        <w:rPr>
          <w:sz w:val="22"/>
          <w:szCs w:val="22"/>
        </w:rPr>
        <w:t>the</w:t>
      </w:r>
      <w:r w:rsidRPr="00102605">
        <w:rPr>
          <w:spacing w:val="-2"/>
          <w:sz w:val="22"/>
          <w:szCs w:val="22"/>
        </w:rPr>
        <w:t xml:space="preserve"> </w:t>
      </w:r>
      <w:r w:rsidRPr="00102605">
        <w:rPr>
          <w:sz w:val="22"/>
          <w:szCs w:val="22"/>
        </w:rPr>
        <w:t>project owner.</w:t>
      </w:r>
    </w:p>
    <w:p w14:paraId="1DD644E5" w14:textId="77777777" w:rsidR="0045715B" w:rsidRPr="00102605" w:rsidRDefault="0045715B" w:rsidP="0045715B">
      <w:pPr>
        <w:pStyle w:val="StandardNew"/>
        <w:spacing w:before="0" w:after="0" w:line="240" w:lineRule="auto"/>
        <w:rPr>
          <w:sz w:val="22"/>
          <w:szCs w:val="22"/>
        </w:rPr>
      </w:pPr>
    </w:p>
    <w:p w14:paraId="5E8DB30E" w14:textId="77777777" w:rsidR="00961383" w:rsidRPr="00102605" w:rsidRDefault="00961383" w:rsidP="0045715B">
      <w:pPr>
        <w:pStyle w:val="StandardNew"/>
        <w:spacing w:before="0" w:after="0" w:line="240" w:lineRule="auto"/>
        <w:rPr>
          <w:sz w:val="22"/>
          <w:szCs w:val="22"/>
        </w:rPr>
      </w:pPr>
      <w:r w:rsidRPr="00102605">
        <w:rPr>
          <w:sz w:val="22"/>
          <w:szCs w:val="22"/>
        </w:rPr>
        <w:t>Proposals</w:t>
      </w:r>
      <w:r w:rsidRPr="00102605">
        <w:rPr>
          <w:spacing w:val="1"/>
          <w:sz w:val="22"/>
          <w:szCs w:val="22"/>
        </w:rPr>
        <w:t xml:space="preserve"> </w:t>
      </w:r>
      <w:r w:rsidRPr="00102605">
        <w:rPr>
          <w:sz w:val="22"/>
          <w:szCs w:val="22"/>
        </w:rPr>
        <w:t>for</w:t>
      </w:r>
      <w:r w:rsidRPr="00102605">
        <w:rPr>
          <w:spacing w:val="1"/>
          <w:sz w:val="22"/>
          <w:szCs w:val="22"/>
        </w:rPr>
        <w:t xml:space="preserve"> </w:t>
      </w:r>
      <w:r w:rsidRPr="00102605">
        <w:rPr>
          <w:sz w:val="22"/>
          <w:szCs w:val="22"/>
        </w:rPr>
        <w:t>strengthening</w:t>
      </w:r>
      <w:r w:rsidRPr="00102605">
        <w:rPr>
          <w:spacing w:val="1"/>
          <w:sz w:val="22"/>
          <w:szCs w:val="22"/>
        </w:rPr>
        <w:t xml:space="preserve"> </w:t>
      </w:r>
      <w:r w:rsidRPr="00102605">
        <w:rPr>
          <w:sz w:val="22"/>
          <w:szCs w:val="22"/>
        </w:rPr>
        <w:t>the</w:t>
      </w:r>
      <w:r w:rsidRPr="00102605">
        <w:rPr>
          <w:spacing w:val="1"/>
          <w:sz w:val="22"/>
          <w:szCs w:val="22"/>
        </w:rPr>
        <w:t xml:space="preserve"> </w:t>
      </w:r>
      <w:r w:rsidRPr="00102605">
        <w:rPr>
          <w:sz w:val="22"/>
          <w:szCs w:val="22"/>
        </w:rPr>
        <w:t>organization</w:t>
      </w:r>
      <w:r w:rsidRPr="00102605">
        <w:rPr>
          <w:spacing w:val="1"/>
          <w:sz w:val="22"/>
          <w:szCs w:val="22"/>
        </w:rPr>
        <w:t xml:space="preserve"> </w:t>
      </w:r>
      <w:r w:rsidRPr="00102605">
        <w:rPr>
          <w:sz w:val="22"/>
          <w:szCs w:val="22"/>
        </w:rPr>
        <w:t>and</w:t>
      </w:r>
      <w:r w:rsidRPr="00102605">
        <w:rPr>
          <w:spacing w:val="1"/>
          <w:sz w:val="22"/>
          <w:szCs w:val="22"/>
        </w:rPr>
        <w:t xml:space="preserve"> </w:t>
      </w:r>
      <w:r w:rsidRPr="00102605">
        <w:rPr>
          <w:sz w:val="22"/>
          <w:szCs w:val="22"/>
        </w:rPr>
        <w:t>capacities</w:t>
      </w:r>
      <w:r w:rsidRPr="00102605">
        <w:rPr>
          <w:spacing w:val="1"/>
          <w:sz w:val="22"/>
          <w:szCs w:val="22"/>
        </w:rPr>
        <w:t xml:space="preserve"> </w:t>
      </w:r>
      <w:r w:rsidRPr="00102605">
        <w:rPr>
          <w:sz w:val="22"/>
          <w:szCs w:val="22"/>
        </w:rPr>
        <w:t>can</w:t>
      </w:r>
      <w:r w:rsidRPr="00102605">
        <w:rPr>
          <w:spacing w:val="1"/>
          <w:sz w:val="22"/>
          <w:szCs w:val="22"/>
        </w:rPr>
        <w:t xml:space="preserve"> </w:t>
      </w:r>
      <w:r w:rsidRPr="00102605">
        <w:rPr>
          <w:sz w:val="22"/>
          <w:szCs w:val="22"/>
        </w:rPr>
        <w:t>be</w:t>
      </w:r>
      <w:r w:rsidRPr="00102605">
        <w:rPr>
          <w:spacing w:val="1"/>
          <w:sz w:val="22"/>
          <w:szCs w:val="22"/>
        </w:rPr>
        <w:t xml:space="preserve"> </w:t>
      </w:r>
      <w:r w:rsidRPr="00102605">
        <w:rPr>
          <w:sz w:val="22"/>
          <w:szCs w:val="22"/>
        </w:rPr>
        <w:t>made</w:t>
      </w:r>
      <w:r w:rsidRPr="00102605">
        <w:rPr>
          <w:spacing w:val="1"/>
          <w:sz w:val="22"/>
          <w:szCs w:val="22"/>
        </w:rPr>
        <w:t xml:space="preserve"> </w:t>
      </w:r>
      <w:r w:rsidRPr="00102605">
        <w:rPr>
          <w:sz w:val="22"/>
          <w:szCs w:val="22"/>
        </w:rPr>
        <w:t>in</w:t>
      </w:r>
      <w:r w:rsidRPr="00102605">
        <w:rPr>
          <w:spacing w:val="1"/>
          <w:sz w:val="22"/>
          <w:szCs w:val="22"/>
        </w:rPr>
        <w:t xml:space="preserve"> </w:t>
      </w:r>
      <w:r w:rsidRPr="00102605">
        <w:rPr>
          <w:sz w:val="22"/>
          <w:szCs w:val="22"/>
        </w:rPr>
        <w:t>the</w:t>
      </w:r>
      <w:r w:rsidRPr="00102605">
        <w:rPr>
          <w:spacing w:val="1"/>
          <w:sz w:val="22"/>
          <w:szCs w:val="22"/>
        </w:rPr>
        <w:t xml:space="preserve"> </w:t>
      </w:r>
      <w:r w:rsidRPr="00102605">
        <w:rPr>
          <w:sz w:val="22"/>
          <w:szCs w:val="22"/>
        </w:rPr>
        <w:t>ESMP.</w:t>
      </w:r>
      <w:r w:rsidRPr="00102605">
        <w:rPr>
          <w:spacing w:val="1"/>
          <w:sz w:val="22"/>
          <w:szCs w:val="22"/>
        </w:rPr>
        <w:t xml:space="preserve"> </w:t>
      </w:r>
      <w:r w:rsidRPr="00102605">
        <w:rPr>
          <w:sz w:val="22"/>
          <w:szCs w:val="22"/>
        </w:rPr>
        <w:t>The</w:t>
      </w:r>
      <w:r w:rsidRPr="00102605">
        <w:rPr>
          <w:spacing w:val="1"/>
          <w:sz w:val="22"/>
          <w:szCs w:val="22"/>
        </w:rPr>
        <w:t xml:space="preserve"> </w:t>
      </w:r>
      <w:r w:rsidRPr="00102605">
        <w:rPr>
          <w:sz w:val="22"/>
          <w:szCs w:val="22"/>
        </w:rPr>
        <w:t>implementation of an external expertise can be promoted to guarantee a suitable control of the</w:t>
      </w:r>
      <w:r w:rsidRPr="00102605">
        <w:rPr>
          <w:spacing w:val="1"/>
          <w:sz w:val="22"/>
          <w:szCs w:val="22"/>
        </w:rPr>
        <w:t xml:space="preserve"> </w:t>
      </w:r>
      <w:r w:rsidRPr="00102605">
        <w:rPr>
          <w:sz w:val="22"/>
          <w:szCs w:val="22"/>
        </w:rPr>
        <w:t>implementation</w:t>
      </w:r>
      <w:r w:rsidRPr="00102605">
        <w:rPr>
          <w:spacing w:val="-4"/>
          <w:sz w:val="22"/>
          <w:szCs w:val="22"/>
        </w:rPr>
        <w:t xml:space="preserve"> </w:t>
      </w:r>
      <w:r w:rsidRPr="00102605">
        <w:rPr>
          <w:sz w:val="22"/>
          <w:szCs w:val="22"/>
        </w:rPr>
        <w:t>of ESMP.</w:t>
      </w:r>
    </w:p>
    <w:p w14:paraId="7D1AF979" w14:textId="77777777" w:rsidR="00961383" w:rsidRPr="00102605" w:rsidRDefault="00961383" w:rsidP="0045715B">
      <w:pPr>
        <w:spacing w:after="0" w:line="240" w:lineRule="auto"/>
        <w:rPr>
          <w:rFonts w:cs="Arial"/>
        </w:rPr>
      </w:pPr>
    </w:p>
    <w:p w14:paraId="0EE18B8C" w14:textId="77777777" w:rsidR="00961383" w:rsidRPr="00102605" w:rsidRDefault="00961383" w:rsidP="0045715B">
      <w:pPr>
        <w:pStyle w:val="Prrafodelista"/>
        <w:numPr>
          <w:ilvl w:val="0"/>
          <w:numId w:val="14"/>
        </w:numPr>
        <w:spacing w:after="0" w:line="240" w:lineRule="auto"/>
        <w:rPr>
          <w:rFonts w:cs="Arial"/>
        </w:rPr>
      </w:pPr>
      <w:r w:rsidRPr="00102605">
        <w:rPr>
          <w:rFonts w:cs="Arial"/>
        </w:rPr>
        <w:t>Calendar for performance and cost estimation</w:t>
      </w:r>
    </w:p>
    <w:p w14:paraId="5756734D" w14:textId="77777777" w:rsidR="00F27D3B" w:rsidRPr="00102605" w:rsidRDefault="00F27D3B" w:rsidP="0045715B">
      <w:pPr>
        <w:pStyle w:val="Prrafodelista"/>
        <w:spacing w:after="0" w:line="240" w:lineRule="auto"/>
        <w:ind w:left="696"/>
        <w:rPr>
          <w:rFonts w:cs="Arial"/>
        </w:rPr>
      </w:pPr>
    </w:p>
    <w:p w14:paraId="7DB3459C" w14:textId="77777777" w:rsidR="00961383" w:rsidRPr="00102605" w:rsidRDefault="00961383" w:rsidP="0045715B">
      <w:pPr>
        <w:pStyle w:val="Textoindependiente"/>
        <w:jc w:val="both"/>
        <w:rPr>
          <w:rFonts w:cs="Arial"/>
          <w:lang w:val="en-GB"/>
        </w:rPr>
      </w:pPr>
      <w:r w:rsidRPr="00102605">
        <w:rPr>
          <w:rFonts w:cs="Arial"/>
          <w:lang w:val="en-GB"/>
        </w:rPr>
        <w:t>For each of the three areas (pollution reduction, environment monitoring and organizational procedures), the ESMP provides:</w:t>
      </w:r>
    </w:p>
    <w:p w14:paraId="61826403" w14:textId="77777777" w:rsidR="00961383" w:rsidRPr="00102605" w:rsidRDefault="00961383" w:rsidP="0045715B">
      <w:pPr>
        <w:pStyle w:val="Prrafodelista"/>
        <w:widowControl w:val="0"/>
        <w:numPr>
          <w:ilvl w:val="0"/>
          <w:numId w:val="22"/>
        </w:numPr>
        <w:tabs>
          <w:tab w:val="left" w:pos="426"/>
        </w:tabs>
        <w:autoSpaceDE w:val="0"/>
        <w:autoSpaceDN w:val="0"/>
        <w:spacing w:after="0" w:line="240" w:lineRule="auto"/>
        <w:ind w:left="426" w:hanging="426"/>
        <w:contextualSpacing w:val="0"/>
        <w:rPr>
          <w:rFonts w:cs="Arial"/>
        </w:rPr>
      </w:pPr>
      <w:r w:rsidRPr="00102605">
        <w:rPr>
          <w:rFonts w:cs="Arial"/>
        </w:rPr>
        <w:t xml:space="preserve">a calendar for performance of the mitigation measures, indicating their scheduling and their coordination with the execution plans of the </w:t>
      </w:r>
      <w:proofErr w:type="gramStart"/>
      <w:r w:rsidRPr="00102605">
        <w:rPr>
          <w:rFonts w:cs="Arial"/>
        </w:rPr>
        <w:t>project;</w:t>
      </w:r>
      <w:proofErr w:type="gramEnd"/>
    </w:p>
    <w:p w14:paraId="6243A81F" w14:textId="77777777" w:rsidR="00961383" w:rsidRPr="00102605" w:rsidRDefault="00961383" w:rsidP="0045715B">
      <w:pPr>
        <w:pStyle w:val="Prrafodelista"/>
        <w:widowControl w:val="0"/>
        <w:numPr>
          <w:ilvl w:val="0"/>
          <w:numId w:val="22"/>
        </w:numPr>
        <w:tabs>
          <w:tab w:val="left" w:pos="426"/>
        </w:tabs>
        <w:autoSpaceDE w:val="0"/>
        <w:autoSpaceDN w:val="0"/>
        <w:spacing w:after="0" w:line="240" w:lineRule="auto"/>
        <w:ind w:left="426" w:right="415" w:hanging="426"/>
        <w:contextualSpacing w:val="0"/>
        <w:rPr>
          <w:rFonts w:cs="Arial"/>
        </w:rPr>
      </w:pPr>
      <w:r w:rsidRPr="00102605">
        <w:rPr>
          <w:rFonts w:cs="Arial"/>
        </w:rPr>
        <w:t>an estimation of the investment and functioning costs,</w:t>
      </w:r>
    </w:p>
    <w:p w14:paraId="58958FB7" w14:textId="77777777" w:rsidR="00961383" w:rsidRPr="00102605" w:rsidRDefault="00961383" w:rsidP="0045715B">
      <w:pPr>
        <w:pStyle w:val="Prrafodelista"/>
        <w:widowControl w:val="0"/>
        <w:numPr>
          <w:ilvl w:val="0"/>
          <w:numId w:val="22"/>
        </w:numPr>
        <w:tabs>
          <w:tab w:val="left" w:pos="426"/>
        </w:tabs>
        <w:autoSpaceDE w:val="0"/>
        <w:autoSpaceDN w:val="0"/>
        <w:spacing w:after="0" w:line="240" w:lineRule="auto"/>
        <w:ind w:left="426" w:right="415" w:hanging="426"/>
        <w:contextualSpacing w:val="0"/>
        <w:rPr>
          <w:rFonts w:cs="Arial"/>
        </w:rPr>
      </w:pPr>
      <w:r w:rsidRPr="00102605">
        <w:rPr>
          <w:rFonts w:cs="Arial"/>
        </w:rPr>
        <w:t>the origin of necessary funds for ESMP implementation.</w:t>
      </w:r>
    </w:p>
    <w:p w14:paraId="7CB7533E" w14:textId="00C467D8" w:rsidR="00961383" w:rsidRDefault="00961383" w:rsidP="0045715B">
      <w:pPr>
        <w:spacing w:after="0" w:line="240" w:lineRule="auto"/>
        <w:rPr>
          <w:rFonts w:cs="Arial"/>
        </w:rPr>
      </w:pPr>
    </w:p>
    <w:p w14:paraId="09D07501" w14:textId="1D256F4C" w:rsidR="00D150E7" w:rsidRDefault="00D150E7" w:rsidP="0045715B">
      <w:pPr>
        <w:spacing w:after="0" w:line="240" w:lineRule="auto"/>
        <w:rPr>
          <w:rFonts w:cs="Arial"/>
        </w:rPr>
      </w:pPr>
    </w:p>
    <w:p w14:paraId="402B83F9" w14:textId="2D864C27" w:rsidR="00D150E7" w:rsidRDefault="00D150E7" w:rsidP="0045715B">
      <w:pPr>
        <w:spacing w:after="0" w:line="240" w:lineRule="auto"/>
        <w:rPr>
          <w:rFonts w:cs="Arial"/>
        </w:rPr>
      </w:pPr>
    </w:p>
    <w:p w14:paraId="142439B4" w14:textId="7DB16AB0" w:rsidR="00D150E7" w:rsidRDefault="00D150E7" w:rsidP="0045715B">
      <w:pPr>
        <w:spacing w:after="0" w:line="240" w:lineRule="auto"/>
        <w:rPr>
          <w:rFonts w:cs="Arial"/>
        </w:rPr>
      </w:pPr>
    </w:p>
    <w:p w14:paraId="1A56CF69" w14:textId="03F7DD82" w:rsidR="00D150E7" w:rsidRDefault="00D150E7" w:rsidP="0045715B">
      <w:pPr>
        <w:spacing w:after="0" w:line="240" w:lineRule="auto"/>
        <w:rPr>
          <w:rFonts w:cs="Arial"/>
        </w:rPr>
      </w:pPr>
    </w:p>
    <w:p w14:paraId="56F9680B" w14:textId="569FB7BD" w:rsidR="00D150E7" w:rsidRDefault="00D150E7" w:rsidP="0045715B">
      <w:pPr>
        <w:spacing w:after="0" w:line="240" w:lineRule="auto"/>
        <w:rPr>
          <w:rFonts w:cs="Arial"/>
        </w:rPr>
      </w:pPr>
    </w:p>
    <w:p w14:paraId="4858A088" w14:textId="5E8B5E3E" w:rsidR="00D150E7" w:rsidRDefault="00D150E7" w:rsidP="0045715B">
      <w:pPr>
        <w:spacing w:after="0" w:line="240" w:lineRule="auto"/>
        <w:rPr>
          <w:rFonts w:cs="Arial"/>
        </w:rPr>
      </w:pPr>
    </w:p>
    <w:p w14:paraId="23AB50E2" w14:textId="51171EE7" w:rsidR="00D150E7" w:rsidRDefault="00D150E7" w:rsidP="0045715B">
      <w:pPr>
        <w:spacing w:after="0" w:line="240" w:lineRule="auto"/>
        <w:rPr>
          <w:rFonts w:cs="Arial"/>
        </w:rPr>
      </w:pPr>
    </w:p>
    <w:p w14:paraId="7F09761B" w14:textId="31665229" w:rsidR="00D150E7" w:rsidRDefault="00D150E7" w:rsidP="0045715B">
      <w:pPr>
        <w:spacing w:after="0" w:line="240" w:lineRule="auto"/>
        <w:rPr>
          <w:rFonts w:cs="Arial"/>
        </w:rPr>
      </w:pPr>
    </w:p>
    <w:p w14:paraId="3D6ABCE5" w14:textId="2FF0873C" w:rsidR="00D150E7" w:rsidRDefault="00D150E7" w:rsidP="0045715B">
      <w:pPr>
        <w:spacing w:after="0" w:line="240" w:lineRule="auto"/>
        <w:rPr>
          <w:rFonts w:cs="Arial"/>
        </w:rPr>
      </w:pPr>
    </w:p>
    <w:p w14:paraId="3980E7E2" w14:textId="7DF7EEF9" w:rsidR="00D150E7" w:rsidRDefault="00D150E7" w:rsidP="0045715B">
      <w:pPr>
        <w:spacing w:after="0" w:line="240" w:lineRule="auto"/>
        <w:rPr>
          <w:rFonts w:cs="Arial"/>
        </w:rPr>
      </w:pPr>
    </w:p>
    <w:p w14:paraId="2B97CE9A" w14:textId="3882C449" w:rsidR="00D150E7" w:rsidRDefault="00D150E7" w:rsidP="0045715B">
      <w:pPr>
        <w:spacing w:after="0" w:line="240" w:lineRule="auto"/>
        <w:rPr>
          <w:rFonts w:cs="Arial"/>
        </w:rPr>
      </w:pPr>
    </w:p>
    <w:p w14:paraId="0BB0FAFE" w14:textId="38C3FA46" w:rsidR="00D150E7" w:rsidRDefault="00D150E7" w:rsidP="0045715B">
      <w:pPr>
        <w:spacing w:after="0" w:line="240" w:lineRule="auto"/>
        <w:rPr>
          <w:rFonts w:cs="Arial"/>
        </w:rPr>
      </w:pPr>
    </w:p>
    <w:p w14:paraId="51652034" w14:textId="2632096A" w:rsidR="00D150E7" w:rsidRDefault="00D150E7" w:rsidP="0045715B">
      <w:pPr>
        <w:spacing w:after="0" w:line="240" w:lineRule="auto"/>
        <w:rPr>
          <w:rFonts w:cs="Arial"/>
        </w:rPr>
      </w:pPr>
    </w:p>
    <w:p w14:paraId="689FF774" w14:textId="775C6F92" w:rsidR="00D150E7" w:rsidRDefault="00D150E7" w:rsidP="0045715B">
      <w:pPr>
        <w:spacing w:after="0" w:line="240" w:lineRule="auto"/>
        <w:rPr>
          <w:rFonts w:cs="Arial"/>
        </w:rPr>
      </w:pPr>
    </w:p>
    <w:p w14:paraId="30312AA7" w14:textId="772C00BF" w:rsidR="00D150E7" w:rsidRDefault="00D150E7" w:rsidP="0045715B">
      <w:pPr>
        <w:spacing w:after="0" w:line="240" w:lineRule="auto"/>
        <w:rPr>
          <w:rFonts w:cs="Arial"/>
        </w:rPr>
      </w:pPr>
    </w:p>
    <w:p w14:paraId="6E258849" w14:textId="7D59C25B" w:rsidR="00D150E7" w:rsidRDefault="00D150E7" w:rsidP="0045715B">
      <w:pPr>
        <w:spacing w:after="0" w:line="240" w:lineRule="auto"/>
        <w:rPr>
          <w:rFonts w:cs="Arial"/>
        </w:rPr>
      </w:pPr>
    </w:p>
    <w:p w14:paraId="7782201B" w14:textId="006A5761" w:rsidR="00D150E7" w:rsidRDefault="00D150E7" w:rsidP="0045715B">
      <w:pPr>
        <w:spacing w:after="0" w:line="240" w:lineRule="auto"/>
        <w:rPr>
          <w:rFonts w:cs="Arial"/>
        </w:rPr>
      </w:pPr>
    </w:p>
    <w:p w14:paraId="0AA6D984" w14:textId="14AC2B3B" w:rsidR="00D150E7" w:rsidRDefault="00D150E7" w:rsidP="0045715B">
      <w:pPr>
        <w:spacing w:after="0" w:line="240" w:lineRule="auto"/>
        <w:rPr>
          <w:rFonts w:cs="Arial"/>
        </w:rPr>
      </w:pPr>
    </w:p>
    <w:p w14:paraId="2C032B1C" w14:textId="77777777" w:rsidR="00D150E7" w:rsidRPr="00102605" w:rsidRDefault="00D150E7" w:rsidP="0045715B">
      <w:pPr>
        <w:spacing w:after="0" w:line="240" w:lineRule="auto"/>
        <w:rPr>
          <w:rFonts w:cs="Arial"/>
        </w:rPr>
      </w:pPr>
    </w:p>
    <w:p w14:paraId="200163B7" w14:textId="7B008387" w:rsidR="00961383" w:rsidRPr="00102605" w:rsidRDefault="00961383" w:rsidP="000B0234">
      <w:pPr>
        <w:pStyle w:val="Ttulo1"/>
        <w:spacing w:before="0" w:after="0" w:line="240" w:lineRule="auto"/>
        <w:rPr>
          <w:rFonts w:cs="Arial"/>
        </w:rPr>
      </w:pPr>
      <w:bookmarkStart w:id="114" w:name="_Toc67651987"/>
      <w:bookmarkStart w:id="115" w:name="_Toc114152227"/>
      <w:r w:rsidRPr="00102605">
        <w:rPr>
          <w:rFonts w:cs="Arial"/>
        </w:rPr>
        <w:t>Annex 4 – Indicative Outline of Stakeholder Engagement Plan and Grievance Mechanism</w:t>
      </w:r>
      <w:bookmarkEnd w:id="114"/>
      <w:bookmarkEnd w:id="115"/>
    </w:p>
    <w:p w14:paraId="705B366C" w14:textId="77777777" w:rsidR="00961383" w:rsidRPr="00102605" w:rsidRDefault="00961383" w:rsidP="0045715B">
      <w:pPr>
        <w:pStyle w:val="Textoindependiente"/>
        <w:rPr>
          <w:rFonts w:cs="Arial"/>
          <w:lang w:val="en-GB"/>
        </w:rPr>
      </w:pPr>
    </w:p>
    <w:p w14:paraId="7643D05B" w14:textId="7212953D" w:rsidR="00961383" w:rsidRPr="00102605" w:rsidRDefault="00961383" w:rsidP="0045715B">
      <w:pPr>
        <w:pStyle w:val="Default"/>
        <w:jc w:val="both"/>
        <w:rPr>
          <w:rFonts w:ascii="Arial" w:eastAsia="Times New Roman" w:hAnsi="Arial" w:cs="Arial"/>
          <w:color w:val="auto"/>
          <w:sz w:val="22"/>
          <w:szCs w:val="22"/>
          <w:lang w:val="en-GB" w:eastAsia="es-ES_tradnl"/>
        </w:rPr>
      </w:pPr>
      <w:r w:rsidRPr="00102605">
        <w:rPr>
          <w:rFonts w:ascii="Arial" w:eastAsia="Times New Roman" w:hAnsi="Arial" w:cs="Arial"/>
          <w:color w:val="auto"/>
          <w:sz w:val="22"/>
          <w:szCs w:val="22"/>
          <w:lang w:val="en-GB" w:eastAsia="es-ES_tradnl"/>
        </w:rPr>
        <w:t xml:space="preserve">Each project under the </w:t>
      </w:r>
      <w:r w:rsidR="00DD1032" w:rsidRPr="00102605">
        <w:rPr>
          <w:rFonts w:ascii="Arial" w:eastAsia="Times New Roman" w:hAnsi="Arial" w:cs="Arial"/>
          <w:color w:val="auto"/>
          <w:sz w:val="22"/>
          <w:szCs w:val="22"/>
          <w:lang w:val="en-GB" w:eastAsia="es-ES_tradnl"/>
        </w:rPr>
        <w:t>Sub-Program 2</w:t>
      </w:r>
      <w:r w:rsidRPr="00102605">
        <w:rPr>
          <w:rFonts w:ascii="Arial" w:eastAsia="Times New Roman" w:hAnsi="Arial" w:cs="Arial"/>
          <w:color w:val="auto"/>
          <w:sz w:val="22"/>
          <w:szCs w:val="22"/>
          <w:lang w:val="en-GB" w:eastAsia="es-ES_tradnl"/>
        </w:rPr>
        <w:t xml:space="preserve"> will require a Stakeholder Engagement Plan, including a grievance </w:t>
      </w:r>
      <w:r w:rsidR="00DE7552">
        <w:rPr>
          <w:rFonts w:ascii="Arial" w:eastAsia="Times New Roman" w:hAnsi="Arial" w:cs="Arial"/>
          <w:color w:val="auto"/>
          <w:sz w:val="22"/>
          <w:szCs w:val="22"/>
          <w:lang w:val="en-GB" w:eastAsia="es-ES_tradnl"/>
        </w:rPr>
        <w:t xml:space="preserve">redress </w:t>
      </w:r>
      <w:r w:rsidRPr="00102605">
        <w:rPr>
          <w:rFonts w:ascii="Arial" w:eastAsia="Times New Roman" w:hAnsi="Arial" w:cs="Arial"/>
          <w:color w:val="auto"/>
          <w:sz w:val="22"/>
          <w:szCs w:val="22"/>
          <w:lang w:val="en-GB" w:eastAsia="es-ES_tradnl"/>
        </w:rPr>
        <w:t>mechanism</w:t>
      </w:r>
      <w:r w:rsidR="00DE7552">
        <w:rPr>
          <w:rFonts w:ascii="Arial" w:eastAsia="Times New Roman" w:hAnsi="Arial" w:cs="Arial"/>
          <w:color w:val="auto"/>
          <w:sz w:val="22"/>
          <w:szCs w:val="22"/>
          <w:lang w:val="en-GB" w:eastAsia="es-ES_tradnl"/>
        </w:rPr>
        <w:t xml:space="preserve">, including </w:t>
      </w:r>
      <w:r w:rsidR="00DE7552" w:rsidRPr="000A655D">
        <w:rPr>
          <w:rFonts w:ascii="Arial" w:eastAsia="Times New Roman" w:hAnsi="Arial" w:cs="Arial"/>
          <w:color w:val="auto"/>
          <w:sz w:val="22"/>
          <w:szCs w:val="22"/>
          <w:lang w:val="en-GB" w:eastAsia="es-ES_tradnl"/>
        </w:rPr>
        <w:t>SEAH redress procedure</w:t>
      </w:r>
      <w:r w:rsidR="00DE7552">
        <w:rPr>
          <w:rFonts w:ascii="Arial" w:eastAsia="Times New Roman" w:hAnsi="Arial" w:cs="Arial"/>
          <w:color w:val="auto"/>
          <w:sz w:val="22"/>
          <w:szCs w:val="22"/>
          <w:lang w:val="en-GB" w:eastAsia="es-ES_tradnl"/>
        </w:rPr>
        <w:t>s</w:t>
      </w:r>
      <w:r w:rsidR="00DE7552" w:rsidRPr="000A655D">
        <w:rPr>
          <w:rFonts w:ascii="Arial" w:eastAsia="Times New Roman" w:hAnsi="Arial" w:cs="Arial"/>
          <w:color w:val="auto"/>
          <w:sz w:val="22"/>
          <w:szCs w:val="22"/>
          <w:lang w:val="en-GB" w:eastAsia="es-ES_tradnl"/>
        </w:rPr>
        <w:t xml:space="preserve"> or requirement</w:t>
      </w:r>
      <w:r w:rsidR="00DE7552">
        <w:rPr>
          <w:rFonts w:ascii="Arial" w:eastAsia="Times New Roman" w:hAnsi="Arial" w:cs="Arial"/>
          <w:color w:val="auto"/>
          <w:sz w:val="22"/>
          <w:szCs w:val="22"/>
          <w:lang w:val="en-GB" w:eastAsia="es-ES_tradnl"/>
        </w:rPr>
        <w:t>s</w:t>
      </w:r>
      <w:r w:rsidRPr="00102605">
        <w:rPr>
          <w:rFonts w:ascii="Arial" w:eastAsia="Times New Roman" w:hAnsi="Arial" w:cs="Arial"/>
          <w:color w:val="auto"/>
          <w:sz w:val="22"/>
          <w:szCs w:val="22"/>
          <w:lang w:val="en-GB" w:eastAsia="es-ES_tradnl"/>
        </w:rPr>
        <w:t xml:space="preserve">. </w:t>
      </w:r>
      <w:r w:rsidR="00177B8B" w:rsidRPr="00102605">
        <w:rPr>
          <w:rFonts w:ascii="Arial" w:eastAsia="Times New Roman" w:hAnsi="Arial" w:cs="Arial"/>
          <w:color w:val="auto"/>
          <w:sz w:val="22"/>
          <w:szCs w:val="22"/>
          <w:lang w:val="en-GB" w:eastAsia="es-ES_tradnl"/>
        </w:rPr>
        <w:t>CAF</w:t>
      </w:r>
      <w:r w:rsidRPr="00102605">
        <w:rPr>
          <w:rFonts w:ascii="Arial" w:eastAsia="Times New Roman" w:hAnsi="Arial" w:cs="Arial"/>
          <w:color w:val="auto"/>
          <w:sz w:val="22"/>
          <w:szCs w:val="22"/>
          <w:lang w:val="en-GB" w:eastAsia="es-ES_tradnl"/>
        </w:rPr>
        <w:t xml:space="preserve"> will disclose on its website appropriate environmental and social information for each project under the </w:t>
      </w:r>
      <w:r w:rsidR="00DD1032" w:rsidRPr="00102605">
        <w:rPr>
          <w:rFonts w:ascii="Arial" w:eastAsia="Times New Roman" w:hAnsi="Arial" w:cs="Arial"/>
          <w:color w:val="auto"/>
          <w:sz w:val="22"/>
          <w:szCs w:val="22"/>
          <w:lang w:val="en-GB" w:eastAsia="es-ES_tradnl"/>
        </w:rPr>
        <w:t>Sub-Program 2</w:t>
      </w:r>
      <w:r w:rsidRPr="00102605">
        <w:rPr>
          <w:rFonts w:ascii="Arial" w:eastAsia="Times New Roman" w:hAnsi="Arial" w:cs="Arial"/>
          <w:color w:val="auto"/>
          <w:sz w:val="22"/>
          <w:szCs w:val="22"/>
          <w:lang w:val="en-GB" w:eastAsia="es-ES_tradnl"/>
        </w:rPr>
        <w:t>.</w:t>
      </w:r>
    </w:p>
    <w:p w14:paraId="229D2E78" w14:textId="77777777" w:rsidR="00961383" w:rsidRPr="00102605" w:rsidRDefault="00961383" w:rsidP="0045715B">
      <w:pPr>
        <w:pStyle w:val="Textoindependiente"/>
        <w:jc w:val="both"/>
        <w:rPr>
          <w:rFonts w:eastAsia="Times New Roman" w:cs="Arial"/>
          <w:lang w:val="en-GB" w:eastAsia="es-ES_tradnl"/>
        </w:rPr>
      </w:pPr>
    </w:p>
    <w:p w14:paraId="030C6B5E" w14:textId="2ED18201" w:rsidR="00961383" w:rsidRPr="00102605" w:rsidRDefault="00225AA4" w:rsidP="0045715B">
      <w:pPr>
        <w:pStyle w:val="Textoindependiente"/>
        <w:jc w:val="both"/>
        <w:rPr>
          <w:rFonts w:cs="Arial"/>
          <w:lang w:val="en-GB"/>
        </w:rPr>
      </w:pPr>
      <w:r w:rsidRPr="00102605">
        <w:rPr>
          <w:rFonts w:eastAsia="Times New Roman" w:cs="Arial"/>
          <w:lang w:val="en-GB" w:eastAsia="es-ES_tradnl"/>
        </w:rPr>
        <w:t>The s</w:t>
      </w:r>
      <w:r w:rsidR="00961383" w:rsidRPr="00102605">
        <w:rPr>
          <w:rFonts w:eastAsia="Times New Roman" w:cs="Arial"/>
          <w:lang w:val="en-GB" w:eastAsia="es-ES_tradnl"/>
        </w:rPr>
        <w:t>takeholder engagement will be carried out in line with World Bank Group</w:t>
      </w:r>
      <w:r w:rsidRPr="00102605">
        <w:rPr>
          <w:rFonts w:eastAsia="Times New Roman" w:cs="Arial"/>
          <w:lang w:val="en-GB" w:eastAsia="es-ES_tradnl"/>
        </w:rPr>
        <w:t>’s</w:t>
      </w:r>
      <w:r w:rsidR="00961383" w:rsidRPr="00102605">
        <w:rPr>
          <w:rFonts w:eastAsia="Times New Roman" w:cs="Arial"/>
          <w:lang w:val="en-GB" w:eastAsia="es-ES_tradnl"/>
        </w:rPr>
        <w:t xml:space="preserve"> Environmental and Social Standards: </w:t>
      </w:r>
      <w:hyperlink r:id="rId43" w:anchor="page=111&amp;zoom=80" w:history="1">
        <w:r w:rsidR="00961383" w:rsidRPr="00102605">
          <w:rPr>
            <w:rStyle w:val="Hipervnculo"/>
            <w:rFonts w:cs="Arial"/>
            <w:lang w:val="en-GB"/>
          </w:rPr>
          <w:t>http://pubdocs.worldbank.org/en/837721522762050108/Environmental-and-Social-Framework.pdf#page=111&amp;zoom=80</w:t>
        </w:r>
      </w:hyperlink>
    </w:p>
    <w:p w14:paraId="0E7FAA5A" w14:textId="77777777" w:rsidR="00961383" w:rsidRPr="00102605" w:rsidRDefault="00961383" w:rsidP="0045715B">
      <w:pPr>
        <w:pStyle w:val="Textoindependiente"/>
        <w:jc w:val="both"/>
        <w:rPr>
          <w:rFonts w:cs="Arial"/>
          <w:lang w:val="en-GB"/>
        </w:rPr>
      </w:pPr>
    </w:p>
    <w:p w14:paraId="0E49AF3F" w14:textId="4A71F575" w:rsidR="00961383" w:rsidRPr="00102605" w:rsidRDefault="00961383" w:rsidP="0045715B">
      <w:pPr>
        <w:pStyle w:val="Textoindependiente"/>
        <w:jc w:val="both"/>
        <w:rPr>
          <w:rFonts w:eastAsia="Times New Roman" w:cs="Arial"/>
          <w:lang w:val="en-GB" w:eastAsia="es-ES_tradnl"/>
        </w:rPr>
      </w:pPr>
      <w:r w:rsidRPr="00102605">
        <w:rPr>
          <w:rFonts w:eastAsia="Times New Roman" w:cs="Arial"/>
          <w:lang w:val="en-GB" w:eastAsia="es-ES_tradnl"/>
        </w:rPr>
        <w:t xml:space="preserve">The </w:t>
      </w:r>
      <w:r w:rsidR="00E87499" w:rsidRPr="00102605">
        <w:rPr>
          <w:rFonts w:eastAsia="Times New Roman" w:cs="Arial"/>
          <w:lang w:val="en-GB" w:eastAsia="es-ES_tradnl"/>
        </w:rPr>
        <w:t xml:space="preserve">indicative </w:t>
      </w:r>
      <w:r w:rsidRPr="00102605">
        <w:rPr>
          <w:rFonts w:eastAsia="Times New Roman" w:cs="Arial"/>
          <w:lang w:val="en-GB" w:eastAsia="es-ES_tradnl"/>
        </w:rPr>
        <w:t>Outline of the Stakeholder Engagement Plan and Grievance Mechanism is the following:</w:t>
      </w:r>
    </w:p>
    <w:p w14:paraId="3BD4C23A" w14:textId="77777777" w:rsidR="00961383" w:rsidRPr="00102605" w:rsidRDefault="00961383" w:rsidP="0045715B">
      <w:pPr>
        <w:pStyle w:val="Textoindependiente"/>
        <w:rPr>
          <w:rFonts w:cs="Arial"/>
          <w:lang w:val="en-GB"/>
        </w:rPr>
      </w:pPr>
    </w:p>
    <w:p w14:paraId="6C2C09B4"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Introduction</w:t>
      </w:r>
    </w:p>
    <w:p w14:paraId="707D2809"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Project</w:t>
      </w:r>
      <w:r w:rsidRPr="00102605">
        <w:rPr>
          <w:rFonts w:cs="Arial"/>
          <w:spacing w:val="-4"/>
        </w:rPr>
        <w:t xml:space="preserve"> </w:t>
      </w:r>
      <w:r w:rsidRPr="00102605">
        <w:rPr>
          <w:rFonts w:cs="Arial"/>
        </w:rPr>
        <w:t>presentation</w:t>
      </w:r>
    </w:p>
    <w:p w14:paraId="0C75E5F9"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Project</w:t>
      </w:r>
      <w:r w:rsidRPr="00102605">
        <w:rPr>
          <w:rFonts w:cs="Arial"/>
          <w:spacing w:val="-3"/>
        </w:rPr>
        <w:t xml:space="preserve"> </w:t>
      </w:r>
      <w:r w:rsidRPr="00102605">
        <w:rPr>
          <w:rFonts w:cs="Arial"/>
        </w:rPr>
        <w:t>context</w:t>
      </w:r>
    </w:p>
    <w:p w14:paraId="220428F2"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Principles</w:t>
      </w:r>
      <w:r w:rsidRPr="00102605">
        <w:rPr>
          <w:rFonts w:cs="Arial"/>
          <w:spacing w:val="-3"/>
        </w:rPr>
        <w:t xml:space="preserve"> </w:t>
      </w:r>
      <w:r w:rsidRPr="00102605">
        <w:rPr>
          <w:rFonts w:cs="Arial"/>
        </w:rPr>
        <w:t>of</w:t>
      </w:r>
      <w:r w:rsidRPr="00102605">
        <w:rPr>
          <w:rFonts w:cs="Arial"/>
          <w:spacing w:val="-2"/>
        </w:rPr>
        <w:t xml:space="preserve"> </w:t>
      </w:r>
      <w:r w:rsidRPr="00102605">
        <w:rPr>
          <w:rFonts w:cs="Arial"/>
        </w:rPr>
        <w:t>stakeholder</w:t>
      </w:r>
      <w:r w:rsidRPr="00102605">
        <w:rPr>
          <w:rFonts w:cs="Arial"/>
          <w:spacing w:val="-3"/>
        </w:rPr>
        <w:t xml:space="preserve"> </w:t>
      </w:r>
      <w:r w:rsidRPr="00102605">
        <w:rPr>
          <w:rFonts w:cs="Arial"/>
        </w:rPr>
        <w:t>engagement</w:t>
      </w:r>
      <w:r w:rsidRPr="00102605">
        <w:rPr>
          <w:rFonts w:cs="Arial"/>
          <w:spacing w:val="-3"/>
        </w:rPr>
        <w:t xml:space="preserve"> </w:t>
      </w:r>
      <w:r w:rsidRPr="00102605">
        <w:rPr>
          <w:rFonts w:cs="Arial"/>
        </w:rPr>
        <w:t>related</w:t>
      </w:r>
      <w:r w:rsidRPr="00102605">
        <w:rPr>
          <w:rFonts w:cs="Arial"/>
          <w:spacing w:val="-1"/>
        </w:rPr>
        <w:t xml:space="preserve"> </w:t>
      </w:r>
      <w:r w:rsidRPr="00102605">
        <w:rPr>
          <w:rFonts w:cs="Arial"/>
        </w:rPr>
        <w:t>to the project</w:t>
      </w:r>
    </w:p>
    <w:p w14:paraId="14A39B31" w14:textId="77777777" w:rsidR="00961383" w:rsidRPr="00102605" w:rsidRDefault="00961383" w:rsidP="0045715B">
      <w:pPr>
        <w:pStyle w:val="Textoindependiente"/>
        <w:rPr>
          <w:rFonts w:cs="Arial"/>
          <w:lang w:val="en-GB"/>
        </w:rPr>
      </w:pPr>
    </w:p>
    <w:p w14:paraId="63856105"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Applicable</w:t>
      </w:r>
      <w:r w:rsidRPr="00102605">
        <w:rPr>
          <w:rFonts w:cs="Arial"/>
          <w:spacing w:val="-1"/>
        </w:rPr>
        <w:t xml:space="preserve"> </w:t>
      </w:r>
      <w:r w:rsidRPr="00102605">
        <w:rPr>
          <w:rFonts w:cs="Arial"/>
        </w:rPr>
        <w:t>regulations</w:t>
      </w:r>
      <w:r w:rsidRPr="00102605">
        <w:rPr>
          <w:rFonts w:cs="Arial"/>
          <w:spacing w:val="-4"/>
        </w:rPr>
        <w:t xml:space="preserve"> </w:t>
      </w:r>
      <w:r w:rsidRPr="00102605">
        <w:rPr>
          <w:rFonts w:cs="Arial"/>
        </w:rPr>
        <w:t>related</w:t>
      </w:r>
      <w:r w:rsidRPr="00102605">
        <w:rPr>
          <w:rFonts w:cs="Arial"/>
          <w:spacing w:val="-1"/>
        </w:rPr>
        <w:t xml:space="preserve"> </w:t>
      </w:r>
      <w:r w:rsidRPr="00102605">
        <w:rPr>
          <w:rFonts w:cs="Arial"/>
        </w:rPr>
        <w:t>to</w:t>
      </w:r>
      <w:r w:rsidRPr="00102605">
        <w:rPr>
          <w:rFonts w:cs="Arial"/>
          <w:spacing w:val="-1"/>
        </w:rPr>
        <w:t xml:space="preserve"> </w:t>
      </w:r>
      <w:r w:rsidRPr="00102605">
        <w:rPr>
          <w:rFonts w:cs="Arial"/>
        </w:rPr>
        <w:t>stakeholder</w:t>
      </w:r>
      <w:r w:rsidRPr="00102605">
        <w:rPr>
          <w:rFonts w:cs="Arial"/>
          <w:spacing w:val="-1"/>
        </w:rPr>
        <w:t xml:space="preserve"> </w:t>
      </w:r>
      <w:r w:rsidRPr="00102605">
        <w:rPr>
          <w:rFonts w:cs="Arial"/>
        </w:rPr>
        <w:t>engagement</w:t>
      </w:r>
    </w:p>
    <w:p w14:paraId="0EE7DBD4"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Applicable</w:t>
      </w:r>
      <w:r w:rsidRPr="00102605">
        <w:rPr>
          <w:rFonts w:cs="Arial"/>
          <w:spacing w:val="-2"/>
        </w:rPr>
        <w:t xml:space="preserve"> </w:t>
      </w:r>
      <w:r w:rsidRPr="00102605">
        <w:rPr>
          <w:rFonts w:cs="Arial"/>
        </w:rPr>
        <w:t>national</w:t>
      </w:r>
      <w:r w:rsidRPr="00102605">
        <w:rPr>
          <w:rFonts w:cs="Arial"/>
          <w:spacing w:val="-1"/>
        </w:rPr>
        <w:t xml:space="preserve"> </w:t>
      </w:r>
      <w:r w:rsidRPr="00102605">
        <w:rPr>
          <w:rFonts w:cs="Arial"/>
        </w:rPr>
        <w:t>regulations</w:t>
      </w:r>
      <w:r w:rsidRPr="00102605">
        <w:rPr>
          <w:rFonts w:cs="Arial"/>
          <w:spacing w:val="-1"/>
        </w:rPr>
        <w:t xml:space="preserve"> </w:t>
      </w:r>
      <w:r w:rsidRPr="00102605">
        <w:rPr>
          <w:rFonts w:cs="Arial"/>
        </w:rPr>
        <w:t>and</w:t>
      </w:r>
      <w:r w:rsidRPr="00102605">
        <w:rPr>
          <w:rFonts w:cs="Arial"/>
          <w:spacing w:val="-3"/>
        </w:rPr>
        <w:t xml:space="preserve"> </w:t>
      </w:r>
      <w:r w:rsidRPr="00102605">
        <w:rPr>
          <w:rFonts w:cs="Arial"/>
        </w:rPr>
        <w:t>related</w:t>
      </w:r>
      <w:r w:rsidRPr="00102605">
        <w:rPr>
          <w:rFonts w:cs="Arial"/>
          <w:spacing w:val="-2"/>
        </w:rPr>
        <w:t xml:space="preserve"> </w:t>
      </w:r>
      <w:r w:rsidRPr="00102605">
        <w:rPr>
          <w:rFonts w:cs="Arial"/>
        </w:rPr>
        <w:t>requirements</w:t>
      </w:r>
    </w:p>
    <w:p w14:paraId="6FE913C7"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Applicable</w:t>
      </w:r>
      <w:r w:rsidRPr="00102605">
        <w:rPr>
          <w:rFonts w:cs="Arial"/>
          <w:spacing w:val="-1"/>
        </w:rPr>
        <w:t xml:space="preserve"> </w:t>
      </w:r>
      <w:r w:rsidRPr="00102605">
        <w:rPr>
          <w:rFonts w:cs="Arial"/>
        </w:rPr>
        <w:t>international</w:t>
      </w:r>
      <w:r w:rsidRPr="00102605">
        <w:rPr>
          <w:rFonts w:cs="Arial"/>
          <w:spacing w:val="-1"/>
        </w:rPr>
        <w:t xml:space="preserve"> </w:t>
      </w:r>
      <w:r w:rsidRPr="00102605">
        <w:rPr>
          <w:rFonts w:cs="Arial"/>
        </w:rPr>
        <w:t>standards and</w:t>
      </w:r>
      <w:r w:rsidRPr="00102605">
        <w:rPr>
          <w:rFonts w:cs="Arial"/>
          <w:spacing w:val="-2"/>
        </w:rPr>
        <w:t xml:space="preserve"> </w:t>
      </w:r>
      <w:r w:rsidRPr="00102605">
        <w:rPr>
          <w:rFonts w:cs="Arial"/>
        </w:rPr>
        <w:t>related</w:t>
      </w:r>
      <w:r w:rsidRPr="00102605">
        <w:rPr>
          <w:rFonts w:cs="Arial"/>
          <w:spacing w:val="-1"/>
        </w:rPr>
        <w:t xml:space="preserve"> </w:t>
      </w:r>
      <w:r w:rsidRPr="00102605">
        <w:rPr>
          <w:rFonts w:cs="Arial"/>
        </w:rPr>
        <w:t>requirements</w:t>
      </w:r>
    </w:p>
    <w:p w14:paraId="5BA8A93C"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Other</w:t>
      </w:r>
      <w:r w:rsidRPr="00102605">
        <w:rPr>
          <w:rFonts w:cs="Arial"/>
          <w:spacing w:val="-1"/>
        </w:rPr>
        <w:t xml:space="preserve"> </w:t>
      </w:r>
      <w:r w:rsidRPr="00102605">
        <w:rPr>
          <w:rFonts w:cs="Arial"/>
        </w:rPr>
        <w:t>applicable</w:t>
      </w:r>
      <w:r w:rsidRPr="00102605">
        <w:rPr>
          <w:rFonts w:cs="Arial"/>
          <w:spacing w:val="-3"/>
        </w:rPr>
        <w:t xml:space="preserve"> </w:t>
      </w:r>
      <w:r w:rsidRPr="00102605">
        <w:rPr>
          <w:rFonts w:cs="Arial"/>
        </w:rPr>
        <w:t>standards</w:t>
      </w:r>
    </w:p>
    <w:p w14:paraId="70714B05" w14:textId="77777777" w:rsidR="00961383" w:rsidRPr="00102605" w:rsidRDefault="00961383" w:rsidP="0045715B">
      <w:pPr>
        <w:pStyle w:val="Textoindependiente"/>
        <w:rPr>
          <w:rFonts w:cs="Arial"/>
          <w:lang w:val="en-GB"/>
        </w:rPr>
      </w:pPr>
    </w:p>
    <w:p w14:paraId="4557F20E"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Analysis</w:t>
      </w:r>
      <w:r w:rsidRPr="00102605">
        <w:rPr>
          <w:rFonts w:cs="Arial"/>
          <w:spacing w:val="-3"/>
        </w:rPr>
        <w:t xml:space="preserve"> </w:t>
      </w:r>
      <w:r w:rsidRPr="00102605">
        <w:rPr>
          <w:rFonts w:cs="Arial"/>
        </w:rPr>
        <w:t>of</w:t>
      </w:r>
      <w:r w:rsidRPr="00102605">
        <w:rPr>
          <w:rFonts w:cs="Arial"/>
          <w:spacing w:val="-1"/>
        </w:rPr>
        <w:t xml:space="preserve"> </w:t>
      </w:r>
      <w:r w:rsidRPr="00102605">
        <w:rPr>
          <w:rFonts w:cs="Arial"/>
        </w:rPr>
        <w:t>project</w:t>
      </w:r>
      <w:r w:rsidRPr="00102605">
        <w:rPr>
          <w:rFonts w:cs="Arial"/>
          <w:spacing w:val="-2"/>
        </w:rPr>
        <w:t xml:space="preserve"> </w:t>
      </w:r>
      <w:r w:rsidRPr="00102605">
        <w:rPr>
          <w:rFonts w:cs="Arial"/>
        </w:rPr>
        <w:t>stakeholders</w:t>
      </w:r>
    </w:p>
    <w:p w14:paraId="59EDEB03"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Approach</w:t>
      </w:r>
      <w:r w:rsidRPr="00102605">
        <w:rPr>
          <w:rFonts w:cs="Arial"/>
          <w:spacing w:val="-2"/>
        </w:rPr>
        <w:t xml:space="preserve"> </w:t>
      </w:r>
      <w:r w:rsidRPr="00102605">
        <w:rPr>
          <w:rFonts w:cs="Arial"/>
        </w:rPr>
        <w:t>to stakeholder’s</w:t>
      </w:r>
      <w:r w:rsidRPr="00102605">
        <w:rPr>
          <w:rFonts w:cs="Arial"/>
          <w:spacing w:val="-1"/>
        </w:rPr>
        <w:t xml:space="preserve"> </w:t>
      </w:r>
      <w:r w:rsidRPr="00102605">
        <w:rPr>
          <w:rFonts w:cs="Arial"/>
        </w:rPr>
        <w:t>identification</w:t>
      </w:r>
    </w:p>
    <w:p w14:paraId="175DA976"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Definition</w:t>
      </w:r>
      <w:r w:rsidRPr="00102605">
        <w:rPr>
          <w:rFonts w:cs="Arial"/>
          <w:spacing w:val="-2"/>
        </w:rPr>
        <w:t xml:space="preserve"> </w:t>
      </w:r>
      <w:r w:rsidRPr="00102605">
        <w:rPr>
          <w:rFonts w:cs="Arial"/>
        </w:rPr>
        <w:t>and</w:t>
      </w:r>
      <w:r w:rsidRPr="00102605">
        <w:rPr>
          <w:rFonts w:cs="Arial"/>
          <w:spacing w:val="-2"/>
        </w:rPr>
        <w:t xml:space="preserve"> </w:t>
      </w:r>
      <w:r w:rsidRPr="00102605">
        <w:rPr>
          <w:rFonts w:cs="Arial"/>
        </w:rPr>
        <w:t>proposed</w:t>
      </w:r>
      <w:r w:rsidRPr="00102605">
        <w:rPr>
          <w:rFonts w:cs="Arial"/>
          <w:spacing w:val="-3"/>
        </w:rPr>
        <w:t xml:space="preserve"> </w:t>
      </w:r>
      <w:r w:rsidRPr="00102605">
        <w:rPr>
          <w:rFonts w:cs="Arial"/>
        </w:rPr>
        <w:t>approach</w:t>
      </w:r>
      <w:r w:rsidRPr="00102605">
        <w:rPr>
          <w:rFonts w:cs="Arial"/>
          <w:spacing w:val="-2"/>
        </w:rPr>
        <w:t xml:space="preserve"> </w:t>
      </w:r>
      <w:r w:rsidRPr="00102605">
        <w:rPr>
          <w:rFonts w:cs="Arial"/>
        </w:rPr>
        <w:t>to groups of</w:t>
      </w:r>
      <w:r w:rsidRPr="00102605">
        <w:rPr>
          <w:rFonts w:cs="Arial"/>
          <w:spacing w:val="-2"/>
        </w:rPr>
        <w:t xml:space="preserve"> </w:t>
      </w:r>
      <w:r w:rsidRPr="00102605">
        <w:rPr>
          <w:rFonts w:cs="Arial"/>
        </w:rPr>
        <w:t>stakeholders</w:t>
      </w:r>
    </w:p>
    <w:p w14:paraId="7F3ABF66" w14:textId="77777777" w:rsidR="00961383" w:rsidRPr="00102605" w:rsidRDefault="00961383" w:rsidP="0045715B">
      <w:pPr>
        <w:pStyle w:val="Textoindependiente"/>
        <w:rPr>
          <w:rFonts w:cs="Arial"/>
          <w:lang w:val="en-GB"/>
        </w:rPr>
      </w:pPr>
    </w:p>
    <w:p w14:paraId="0BCD9A5A"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Activities related</w:t>
      </w:r>
      <w:r w:rsidRPr="00102605">
        <w:rPr>
          <w:rFonts w:cs="Arial"/>
          <w:spacing w:val="-3"/>
        </w:rPr>
        <w:t xml:space="preserve"> </w:t>
      </w:r>
      <w:r w:rsidRPr="00102605">
        <w:rPr>
          <w:rFonts w:cs="Arial"/>
        </w:rPr>
        <w:t>to</w:t>
      </w:r>
      <w:r w:rsidRPr="00102605">
        <w:rPr>
          <w:rFonts w:cs="Arial"/>
          <w:spacing w:val="-1"/>
        </w:rPr>
        <w:t xml:space="preserve"> </w:t>
      </w:r>
      <w:r w:rsidRPr="00102605">
        <w:rPr>
          <w:rFonts w:cs="Arial"/>
        </w:rPr>
        <w:t>stakeholder</w:t>
      </w:r>
      <w:r w:rsidRPr="00102605">
        <w:rPr>
          <w:rFonts w:cs="Arial"/>
          <w:spacing w:val="-2"/>
        </w:rPr>
        <w:t xml:space="preserve"> </w:t>
      </w:r>
      <w:r w:rsidRPr="00102605">
        <w:rPr>
          <w:rFonts w:cs="Arial"/>
        </w:rPr>
        <w:t>engagement</w:t>
      </w:r>
    </w:p>
    <w:p w14:paraId="69A7308E"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Communications</w:t>
      </w:r>
      <w:r w:rsidRPr="00102605">
        <w:rPr>
          <w:rFonts w:cs="Arial"/>
          <w:spacing w:val="-4"/>
        </w:rPr>
        <w:t xml:space="preserve"> </w:t>
      </w:r>
      <w:r w:rsidRPr="00102605">
        <w:rPr>
          <w:rFonts w:cs="Arial"/>
        </w:rPr>
        <w:t>and</w:t>
      </w:r>
      <w:r w:rsidRPr="00102605">
        <w:rPr>
          <w:rFonts w:cs="Arial"/>
          <w:spacing w:val="-2"/>
        </w:rPr>
        <w:t xml:space="preserve"> </w:t>
      </w:r>
      <w:r w:rsidRPr="00102605">
        <w:rPr>
          <w:rFonts w:cs="Arial"/>
        </w:rPr>
        <w:t>information</w:t>
      </w:r>
      <w:r w:rsidRPr="00102605">
        <w:rPr>
          <w:rFonts w:cs="Arial"/>
          <w:spacing w:val="-2"/>
        </w:rPr>
        <w:t xml:space="preserve"> </w:t>
      </w:r>
      <w:r w:rsidRPr="00102605">
        <w:rPr>
          <w:rFonts w:cs="Arial"/>
        </w:rPr>
        <w:t>disclosure for</w:t>
      </w:r>
      <w:r w:rsidRPr="00102605">
        <w:rPr>
          <w:rFonts w:cs="Arial"/>
          <w:spacing w:val="-4"/>
        </w:rPr>
        <w:t xml:space="preserve"> </w:t>
      </w:r>
      <w:r w:rsidRPr="00102605">
        <w:rPr>
          <w:rFonts w:cs="Arial"/>
        </w:rPr>
        <w:t>the</w:t>
      </w:r>
      <w:r w:rsidRPr="00102605">
        <w:rPr>
          <w:rFonts w:cs="Arial"/>
          <w:spacing w:val="-1"/>
        </w:rPr>
        <w:t xml:space="preserve"> </w:t>
      </w:r>
      <w:r w:rsidRPr="00102605">
        <w:rPr>
          <w:rFonts w:cs="Arial"/>
        </w:rPr>
        <w:t>project</w:t>
      </w:r>
      <w:r w:rsidRPr="00102605">
        <w:rPr>
          <w:rFonts w:cs="Arial"/>
          <w:spacing w:val="2"/>
        </w:rPr>
        <w:t xml:space="preserve"> </w:t>
      </w:r>
      <w:r w:rsidRPr="00102605">
        <w:rPr>
          <w:rFonts w:cs="Arial"/>
        </w:rPr>
        <w:t>and</w:t>
      </w:r>
      <w:r w:rsidRPr="00102605">
        <w:rPr>
          <w:rFonts w:cs="Arial"/>
          <w:spacing w:val="-3"/>
        </w:rPr>
        <w:t xml:space="preserve"> </w:t>
      </w:r>
      <w:r w:rsidRPr="00102605">
        <w:rPr>
          <w:rFonts w:cs="Arial"/>
        </w:rPr>
        <w:t>related</w:t>
      </w:r>
      <w:r w:rsidRPr="00102605">
        <w:rPr>
          <w:rFonts w:cs="Arial"/>
          <w:spacing w:val="-2"/>
        </w:rPr>
        <w:t xml:space="preserve"> </w:t>
      </w:r>
      <w:r w:rsidRPr="00102605">
        <w:rPr>
          <w:rFonts w:cs="Arial"/>
        </w:rPr>
        <w:t>studies</w:t>
      </w:r>
    </w:p>
    <w:p w14:paraId="4DFEAAD3"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Consultation</w:t>
      </w:r>
      <w:r w:rsidRPr="00102605">
        <w:rPr>
          <w:rFonts w:cs="Arial"/>
          <w:spacing w:val="-3"/>
        </w:rPr>
        <w:t xml:space="preserve"> </w:t>
      </w:r>
      <w:r w:rsidRPr="00102605">
        <w:rPr>
          <w:rFonts w:cs="Arial"/>
        </w:rPr>
        <w:t>activities carried</w:t>
      </w:r>
      <w:r w:rsidRPr="00102605">
        <w:rPr>
          <w:rFonts w:cs="Arial"/>
          <w:spacing w:val="-2"/>
        </w:rPr>
        <w:t xml:space="preserve"> </w:t>
      </w:r>
      <w:r w:rsidRPr="00102605">
        <w:rPr>
          <w:rFonts w:cs="Arial"/>
        </w:rPr>
        <w:t>out</w:t>
      </w:r>
      <w:r w:rsidRPr="00102605">
        <w:rPr>
          <w:rFonts w:cs="Arial"/>
          <w:spacing w:val="-3"/>
        </w:rPr>
        <w:t xml:space="preserve"> </w:t>
      </w:r>
      <w:r w:rsidRPr="00102605">
        <w:rPr>
          <w:rFonts w:cs="Arial"/>
        </w:rPr>
        <w:t>to</w:t>
      </w:r>
      <w:r w:rsidRPr="00102605">
        <w:rPr>
          <w:rFonts w:cs="Arial"/>
          <w:spacing w:val="-1"/>
        </w:rPr>
        <w:t xml:space="preserve"> </w:t>
      </w:r>
      <w:r w:rsidRPr="00102605">
        <w:rPr>
          <w:rFonts w:cs="Arial"/>
        </w:rPr>
        <w:t>date</w:t>
      </w:r>
    </w:p>
    <w:p w14:paraId="3DEC486E"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Activities and</w:t>
      </w:r>
      <w:r w:rsidRPr="00102605">
        <w:rPr>
          <w:rFonts w:cs="Arial"/>
          <w:spacing w:val="-3"/>
        </w:rPr>
        <w:t xml:space="preserve"> </w:t>
      </w:r>
      <w:r w:rsidRPr="00102605">
        <w:rPr>
          <w:rFonts w:cs="Arial"/>
        </w:rPr>
        <w:t>monitoring</w:t>
      </w:r>
      <w:r w:rsidRPr="00102605">
        <w:rPr>
          <w:rFonts w:cs="Arial"/>
          <w:spacing w:val="-1"/>
        </w:rPr>
        <w:t xml:space="preserve"> </w:t>
      </w:r>
      <w:r w:rsidRPr="00102605">
        <w:rPr>
          <w:rFonts w:cs="Arial"/>
        </w:rPr>
        <w:t>indicators</w:t>
      </w:r>
      <w:r w:rsidRPr="00102605">
        <w:rPr>
          <w:rFonts w:cs="Arial"/>
          <w:spacing w:val="-1"/>
        </w:rPr>
        <w:t xml:space="preserve"> </w:t>
      </w:r>
      <w:r w:rsidRPr="00102605">
        <w:rPr>
          <w:rFonts w:cs="Arial"/>
        </w:rPr>
        <w:t>for</w:t>
      </w:r>
      <w:r w:rsidRPr="00102605">
        <w:rPr>
          <w:rFonts w:cs="Arial"/>
          <w:spacing w:val="-2"/>
        </w:rPr>
        <w:t xml:space="preserve"> </w:t>
      </w:r>
      <w:r w:rsidRPr="00102605">
        <w:rPr>
          <w:rFonts w:cs="Arial"/>
        </w:rPr>
        <w:t>stakeholder</w:t>
      </w:r>
      <w:r w:rsidRPr="00102605">
        <w:rPr>
          <w:rFonts w:cs="Arial"/>
          <w:spacing w:val="-2"/>
        </w:rPr>
        <w:t xml:space="preserve"> </w:t>
      </w:r>
      <w:r w:rsidRPr="00102605">
        <w:rPr>
          <w:rFonts w:cs="Arial"/>
        </w:rPr>
        <w:t>engagement</w:t>
      </w:r>
    </w:p>
    <w:p w14:paraId="2CA36D64" w14:textId="77777777" w:rsidR="00961383" w:rsidRPr="00102605" w:rsidRDefault="00961383" w:rsidP="0045715B">
      <w:pPr>
        <w:pStyle w:val="Textoindependiente"/>
        <w:rPr>
          <w:rFonts w:cs="Arial"/>
          <w:lang w:val="en-GB"/>
        </w:rPr>
      </w:pPr>
    </w:p>
    <w:p w14:paraId="14A86F78"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Grievance redress</w:t>
      </w:r>
      <w:r w:rsidRPr="00102605">
        <w:rPr>
          <w:rFonts w:cs="Arial"/>
          <w:spacing w:val="-1"/>
        </w:rPr>
        <w:t xml:space="preserve"> </w:t>
      </w:r>
      <w:r w:rsidRPr="00102605">
        <w:rPr>
          <w:rFonts w:cs="Arial"/>
        </w:rPr>
        <w:t>mechanism</w:t>
      </w:r>
    </w:p>
    <w:p w14:paraId="1CC915C7"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Principles</w:t>
      </w:r>
    </w:p>
    <w:p w14:paraId="69553C32" w14:textId="704C5273" w:rsidR="00961383" w:rsidRDefault="00DE7552"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Pr>
          <w:rFonts w:cs="Arial"/>
        </w:rPr>
        <w:t xml:space="preserve">General </w:t>
      </w:r>
      <w:r w:rsidR="00961383" w:rsidRPr="00102605">
        <w:rPr>
          <w:rFonts w:cs="Arial"/>
        </w:rPr>
        <w:t>Procedure</w:t>
      </w:r>
    </w:p>
    <w:p w14:paraId="0DA6497B" w14:textId="77777777" w:rsidR="00DE7552" w:rsidRPr="00102605" w:rsidRDefault="00DE7552" w:rsidP="00DE7552">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Pr>
          <w:rFonts w:cs="Arial"/>
        </w:rPr>
        <w:t>S</w:t>
      </w:r>
      <w:r w:rsidRPr="000A655D">
        <w:rPr>
          <w:rFonts w:cs="Arial"/>
        </w:rPr>
        <w:t>urvivor-centred and gender-responsive SEAH redress procedure or requirement</w:t>
      </w:r>
      <w:r>
        <w:rPr>
          <w:rFonts w:cs="Arial"/>
        </w:rPr>
        <w:t>s</w:t>
      </w:r>
      <w:r w:rsidRPr="000A655D">
        <w:rPr>
          <w:rFonts w:cs="Arial"/>
        </w:rPr>
        <w:t>.</w:t>
      </w:r>
    </w:p>
    <w:p w14:paraId="05F34041" w14:textId="77777777" w:rsidR="00961383" w:rsidRPr="00102605" w:rsidRDefault="00961383" w:rsidP="0045715B">
      <w:pPr>
        <w:pStyle w:val="Textoindependiente"/>
        <w:rPr>
          <w:rFonts w:cs="Arial"/>
          <w:lang w:val="en-GB"/>
        </w:rPr>
      </w:pPr>
    </w:p>
    <w:p w14:paraId="5FF4BB47"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Monitoring</w:t>
      </w:r>
      <w:r w:rsidRPr="00102605">
        <w:rPr>
          <w:rFonts w:cs="Arial"/>
          <w:spacing w:val="-2"/>
        </w:rPr>
        <w:t xml:space="preserve"> </w:t>
      </w:r>
      <w:r w:rsidRPr="00102605">
        <w:rPr>
          <w:rFonts w:cs="Arial"/>
        </w:rPr>
        <w:t>and</w:t>
      </w:r>
      <w:r w:rsidRPr="00102605">
        <w:rPr>
          <w:rFonts w:cs="Arial"/>
          <w:spacing w:val="-2"/>
        </w:rPr>
        <w:t xml:space="preserve"> </w:t>
      </w:r>
      <w:r w:rsidRPr="00102605">
        <w:rPr>
          <w:rFonts w:cs="Arial"/>
        </w:rPr>
        <w:t>reporting</w:t>
      </w:r>
      <w:r w:rsidRPr="00102605">
        <w:rPr>
          <w:rFonts w:cs="Arial"/>
          <w:spacing w:val="-2"/>
        </w:rPr>
        <w:t xml:space="preserve"> </w:t>
      </w:r>
      <w:r w:rsidRPr="00102605">
        <w:rPr>
          <w:rFonts w:cs="Arial"/>
        </w:rPr>
        <w:t>for stakeholder</w:t>
      </w:r>
      <w:r w:rsidRPr="00102605">
        <w:rPr>
          <w:rFonts w:cs="Arial"/>
          <w:spacing w:val="-3"/>
        </w:rPr>
        <w:t xml:space="preserve"> </w:t>
      </w:r>
      <w:r w:rsidRPr="00102605">
        <w:rPr>
          <w:rFonts w:cs="Arial"/>
        </w:rPr>
        <w:t>engagement</w:t>
      </w:r>
      <w:r w:rsidRPr="00102605">
        <w:rPr>
          <w:rFonts w:cs="Arial"/>
          <w:spacing w:val="-1"/>
        </w:rPr>
        <w:t xml:space="preserve"> </w:t>
      </w:r>
      <w:r w:rsidRPr="00102605">
        <w:rPr>
          <w:rFonts w:cs="Arial"/>
        </w:rPr>
        <w:t>activities</w:t>
      </w:r>
    </w:p>
    <w:p w14:paraId="4AC17F70"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Monitoring</w:t>
      </w:r>
    </w:p>
    <w:p w14:paraId="7C42D40F"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Reporting</w:t>
      </w:r>
      <w:r w:rsidRPr="00102605">
        <w:rPr>
          <w:rFonts w:cs="Arial"/>
          <w:spacing w:val="-3"/>
        </w:rPr>
        <w:t xml:space="preserve"> </w:t>
      </w:r>
      <w:r w:rsidRPr="00102605">
        <w:rPr>
          <w:rFonts w:cs="Arial"/>
        </w:rPr>
        <w:t>of activities</w:t>
      </w:r>
    </w:p>
    <w:p w14:paraId="2ACE44A1"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Annual reporting</w:t>
      </w:r>
    </w:p>
    <w:p w14:paraId="462B8DA9" w14:textId="77777777" w:rsidR="00961383" w:rsidRPr="00102605" w:rsidRDefault="00961383" w:rsidP="0045715B">
      <w:pPr>
        <w:pStyle w:val="Prrafodelista"/>
        <w:widowControl w:val="0"/>
        <w:tabs>
          <w:tab w:val="left" w:pos="697"/>
        </w:tabs>
        <w:autoSpaceDE w:val="0"/>
        <w:autoSpaceDN w:val="0"/>
        <w:spacing w:after="0" w:line="240" w:lineRule="auto"/>
        <w:ind w:left="361"/>
        <w:contextualSpacing w:val="0"/>
        <w:rPr>
          <w:rFonts w:cs="Arial"/>
        </w:rPr>
      </w:pPr>
    </w:p>
    <w:p w14:paraId="0FE65694" w14:textId="77777777" w:rsidR="00961383" w:rsidRPr="00102605" w:rsidRDefault="00961383" w:rsidP="0045715B">
      <w:pPr>
        <w:pStyle w:val="Prrafodelista"/>
        <w:widowControl w:val="0"/>
        <w:numPr>
          <w:ilvl w:val="0"/>
          <w:numId w:val="5"/>
        </w:numPr>
        <w:tabs>
          <w:tab w:val="left" w:pos="697"/>
        </w:tabs>
        <w:autoSpaceDE w:val="0"/>
        <w:autoSpaceDN w:val="0"/>
        <w:spacing w:after="0" w:line="240" w:lineRule="auto"/>
        <w:ind w:hanging="361"/>
        <w:contextualSpacing w:val="0"/>
        <w:jc w:val="left"/>
        <w:rPr>
          <w:rFonts w:cs="Arial"/>
        </w:rPr>
      </w:pPr>
      <w:r w:rsidRPr="00102605">
        <w:rPr>
          <w:rFonts w:cs="Arial"/>
        </w:rPr>
        <w:t>Appendixes</w:t>
      </w:r>
    </w:p>
    <w:p w14:paraId="12941880" w14:textId="77777777" w:rsidR="00961383" w:rsidRPr="00102605" w:rsidRDefault="00961383" w:rsidP="0045715B">
      <w:pPr>
        <w:pStyle w:val="Prrafodelista"/>
        <w:widowControl w:val="0"/>
        <w:numPr>
          <w:ilvl w:val="1"/>
          <w:numId w:val="5"/>
        </w:numPr>
        <w:tabs>
          <w:tab w:val="left" w:pos="1129"/>
          <w:tab w:val="left" w:pos="1107"/>
        </w:tabs>
        <w:autoSpaceDE w:val="0"/>
        <w:autoSpaceDN w:val="0"/>
        <w:spacing w:after="0" w:line="240" w:lineRule="auto"/>
        <w:ind w:hanging="433"/>
        <w:contextualSpacing w:val="0"/>
        <w:jc w:val="left"/>
        <w:rPr>
          <w:rFonts w:cs="Arial"/>
        </w:rPr>
      </w:pPr>
      <w:r w:rsidRPr="00102605">
        <w:rPr>
          <w:rFonts w:cs="Arial"/>
        </w:rPr>
        <w:t>List of stakeholders</w:t>
      </w:r>
    </w:p>
    <w:p w14:paraId="567CAAD5"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Communications and information disclosure scheme</w:t>
      </w:r>
    </w:p>
    <w:p w14:paraId="07B2A066" w14:textId="77777777" w:rsidR="00961383" w:rsidRPr="00102605" w:rsidRDefault="00961383" w:rsidP="0045715B">
      <w:pPr>
        <w:pStyle w:val="Prrafodelista"/>
        <w:widowControl w:val="0"/>
        <w:numPr>
          <w:ilvl w:val="1"/>
          <w:numId w:val="5"/>
        </w:numPr>
        <w:tabs>
          <w:tab w:val="left" w:pos="1129"/>
        </w:tabs>
        <w:autoSpaceDE w:val="0"/>
        <w:autoSpaceDN w:val="0"/>
        <w:spacing w:after="0" w:line="240" w:lineRule="auto"/>
        <w:ind w:hanging="433"/>
        <w:contextualSpacing w:val="0"/>
        <w:jc w:val="left"/>
        <w:rPr>
          <w:rFonts w:cs="Arial"/>
        </w:rPr>
      </w:pPr>
      <w:r w:rsidRPr="00102605">
        <w:rPr>
          <w:rFonts w:cs="Arial"/>
        </w:rPr>
        <w:t>Grievance redress scheme</w:t>
      </w:r>
    </w:p>
    <w:p w14:paraId="0F92BD0F" w14:textId="4517F5EB" w:rsidR="00EF1F8C" w:rsidRDefault="00EF1F8C" w:rsidP="0045715B">
      <w:pPr>
        <w:spacing w:after="0" w:line="240" w:lineRule="auto"/>
        <w:rPr>
          <w:rFonts w:cs="Arial"/>
        </w:rPr>
      </w:pPr>
    </w:p>
    <w:p w14:paraId="434218E1" w14:textId="4CEC267F" w:rsidR="003F381C" w:rsidRPr="00102605" w:rsidRDefault="003F381C" w:rsidP="0045715B">
      <w:pPr>
        <w:spacing w:after="0" w:line="240" w:lineRule="auto"/>
        <w:rPr>
          <w:rFonts w:cs="Arial"/>
        </w:rPr>
      </w:pPr>
      <w:r w:rsidRPr="003F381C">
        <w:rPr>
          <w:rFonts w:cs="Arial"/>
        </w:rPr>
        <w:t xml:space="preserve">It is important to state in the Plan that the GCF independent Redress Mechanism and the Secretariat’s indigenous </w:t>
      </w:r>
      <w:proofErr w:type="gramStart"/>
      <w:r w:rsidRPr="003F381C">
        <w:rPr>
          <w:rFonts w:cs="Arial"/>
        </w:rPr>
        <w:t>peoples</w:t>
      </w:r>
      <w:proofErr w:type="gramEnd"/>
      <w:r w:rsidRPr="003F381C">
        <w:rPr>
          <w:rFonts w:cs="Arial"/>
        </w:rPr>
        <w:t xml:space="preserve"> focal point, will be available for assistance at any stage, including before a claim has been made.</w:t>
      </w:r>
    </w:p>
    <w:p w14:paraId="38468683" w14:textId="77777777" w:rsidR="00EF1F8C" w:rsidRPr="00102605" w:rsidRDefault="00EF1F8C" w:rsidP="002B4C2F">
      <w:pPr>
        <w:spacing w:after="0" w:line="240" w:lineRule="auto"/>
        <w:rPr>
          <w:rFonts w:cs="Arial"/>
        </w:rPr>
      </w:pPr>
    </w:p>
    <w:p w14:paraId="1CE82383" w14:textId="316BECB5" w:rsidR="00EF1F8C" w:rsidRDefault="000E4FD0" w:rsidP="000B0234">
      <w:pPr>
        <w:pStyle w:val="Ttulo1"/>
        <w:spacing w:before="0" w:after="0" w:line="240" w:lineRule="auto"/>
        <w:rPr>
          <w:rFonts w:cs="Arial"/>
        </w:rPr>
      </w:pPr>
      <w:bookmarkStart w:id="116" w:name="_Toc114152228"/>
      <w:r w:rsidRPr="00102605">
        <w:rPr>
          <w:rFonts w:cs="Arial"/>
        </w:rPr>
        <w:t xml:space="preserve">Annex </w:t>
      </w:r>
      <w:r>
        <w:rPr>
          <w:rFonts w:cs="Arial"/>
        </w:rPr>
        <w:t>5</w:t>
      </w:r>
      <w:r w:rsidRPr="00102605">
        <w:rPr>
          <w:rFonts w:cs="Arial"/>
        </w:rPr>
        <w:t xml:space="preserve"> – </w:t>
      </w:r>
      <w:r w:rsidR="002B4C2F">
        <w:rPr>
          <w:rFonts w:cs="Arial"/>
        </w:rPr>
        <w:t xml:space="preserve">Risk </w:t>
      </w:r>
      <w:r w:rsidR="00EF1391">
        <w:rPr>
          <w:rFonts w:cs="Arial"/>
        </w:rPr>
        <w:t>alignment</w:t>
      </w:r>
      <w:r w:rsidR="002B4C2F">
        <w:rPr>
          <w:rFonts w:cs="Arial"/>
        </w:rPr>
        <w:t xml:space="preserve"> CAF / GCF and Screening of safeguard evaluation</w:t>
      </w:r>
      <w:bookmarkEnd w:id="116"/>
      <w:r w:rsidR="002B4C2F">
        <w:rPr>
          <w:rFonts w:cs="Arial"/>
        </w:rPr>
        <w:t xml:space="preserve"> </w:t>
      </w:r>
    </w:p>
    <w:p w14:paraId="752F19BC" w14:textId="17494CF1" w:rsidR="002B4C2F" w:rsidRDefault="002B4C2F" w:rsidP="002B4C2F">
      <w:pPr>
        <w:spacing w:after="0" w:line="240" w:lineRule="auto"/>
      </w:pPr>
    </w:p>
    <w:p w14:paraId="72196E99" w14:textId="6AF67960" w:rsidR="002B4C2F" w:rsidRPr="002B4C2F" w:rsidRDefault="002B4C2F" w:rsidP="002B4C2F">
      <w:pPr>
        <w:spacing w:after="0" w:line="240" w:lineRule="auto"/>
        <w:jc w:val="center"/>
        <w:rPr>
          <w:b/>
          <w:bCs/>
        </w:rPr>
      </w:pPr>
      <w:bookmarkStart w:id="117" w:name="_Hlk109749818"/>
      <w:r w:rsidRPr="004D5C6E">
        <w:rPr>
          <w:b/>
          <w:bCs/>
        </w:rPr>
        <w:t xml:space="preserve">Risk </w:t>
      </w:r>
      <w:r w:rsidR="00EF1391" w:rsidRPr="004D5C6E">
        <w:rPr>
          <w:b/>
          <w:bCs/>
        </w:rPr>
        <w:t>alignment</w:t>
      </w:r>
      <w:r w:rsidRPr="004D5C6E">
        <w:rPr>
          <w:b/>
          <w:bCs/>
        </w:rPr>
        <w:t xml:space="preserve"> CAF - GCF</w:t>
      </w:r>
      <w:bookmarkEnd w:id="117"/>
    </w:p>
    <w:tbl>
      <w:tblPr>
        <w:tblStyle w:val="Tablaconcuadrcula"/>
        <w:tblW w:w="9351" w:type="dxa"/>
        <w:tblLook w:val="04A0" w:firstRow="1" w:lastRow="0" w:firstColumn="1" w:lastColumn="0" w:noHBand="0" w:noVBand="1"/>
      </w:tblPr>
      <w:tblGrid>
        <w:gridCol w:w="4673"/>
        <w:gridCol w:w="4678"/>
      </w:tblGrid>
      <w:tr w:rsidR="002B4C2F" w:rsidRPr="00E521CC" w14:paraId="654E7846" w14:textId="77777777" w:rsidTr="002B4C2F">
        <w:tc>
          <w:tcPr>
            <w:tcW w:w="4673" w:type="dxa"/>
          </w:tcPr>
          <w:p w14:paraId="14D74EA2" w14:textId="77777777" w:rsidR="002B4C2F" w:rsidRDefault="002B4C2F">
            <w:pPr>
              <w:jc w:val="center"/>
              <w:rPr>
                <w:b/>
                <w:bCs/>
              </w:rPr>
            </w:pPr>
            <w:r w:rsidRPr="005C79D4">
              <w:rPr>
                <w:b/>
                <w:bCs/>
              </w:rPr>
              <w:t>Environmental and Social Risk Management</w:t>
            </w:r>
            <w:r>
              <w:rPr>
                <w:b/>
                <w:bCs/>
              </w:rPr>
              <w:t xml:space="preserve"> Process</w:t>
            </w:r>
            <w:r w:rsidRPr="005C79D4">
              <w:rPr>
                <w:b/>
                <w:bCs/>
              </w:rPr>
              <w:t xml:space="preserve"> </w:t>
            </w:r>
            <w:r>
              <w:rPr>
                <w:b/>
                <w:bCs/>
              </w:rPr>
              <w:t>Manual for Operations</w:t>
            </w:r>
          </w:p>
          <w:p w14:paraId="22F06BC1" w14:textId="77777777" w:rsidR="002B4C2F" w:rsidRPr="00E521CC" w:rsidRDefault="002B4C2F">
            <w:pPr>
              <w:jc w:val="center"/>
              <w:rPr>
                <w:b/>
                <w:bCs/>
                <w:lang w:val="es-EC"/>
              </w:rPr>
            </w:pPr>
            <w:r w:rsidRPr="00E521CC">
              <w:rPr>
                <w:b/>
                <w:bCs/>
                <w:lang w:val="es-EC"/>
              </w:rPr>
              <w:t>MN / VPR – 093</w:t>
            </w:r>
          </w:p>
          <w:p w14:paraId="7C6288DA" w14:textId="77777777" w:rsidR="002B4C2F" w:rsidRPr="00E521CC" w:rsidRDefault="002B4C2F">
            <w:pPr>
              <w:rPr>
                <w:lang w:val="es-EC"/>
              </w:rPr>
            </w:pPr>
            <w:r w:rsidRPr="00E521CC">
              <w:rPr>
                <w:b/>
                <w:bCs/>
                <w:lang w:val="es-EC"/>
              </w:rPr>
              <w:t>CAF Banco de Desarrollo de América Latina</w:t>
            </w:r>
          </w:p>
        </w:tc>
        <w:tc>
          <w:tcPr>
            <w:tcW w:w="4678" w:type="dxa"/>
          </w:tcPr>
          <w:p w14:paraId="6B2906CF" w14:textId="77777777" w:rsidR="002B4C2F" w:rsidRPr="005C79D4" w:rsidRDefault="002B4C2F">
            <w:pPr>
              <w:jc w:val="center"/>
              <w:rPr>
                <w:b/>
                <w:bCs/>
              </w:rPr>
            </w:pPr>
            <w:r w:rsidRPr="005C79D4">
              <w:rPr>
                <w:b/>
                <w:bCs/>
              </w:rPr>
              <w:t>Environmental and Social Policy,</w:t>
            </w:r>
          </w:p>
          <w:p w14:paraId="1FF71788" w14:textId="77777777" w:rsidR="002B4C2F" w:rsidRPr="00443705" w:rsidRDefault="002B4C2F">
            <w:pPr>
              <w:jc w:val="center"/>
              <w:rPr>
                <w:lang w:val="en-US"/>
              </w:rPr>
            </w:pPr>
            <w:r w:rsidRPr="005C79D4">
              <w:rPr>
                <w:b/>
                <w:bCs/>
              </w:rPr>
              <w:t>Green Climate Fund</w:t>
            </w:r>
          </w:p>
        </w:tc>
      </w:tr>
      <w:tr w:rsidR="002B4C2F" w:rsidRPr="007D1ED3" w14:paraId="67FFCD88" w14:textId="77777777" w:rsidTr="002B4C2F">
        <w:tc>
          <w:tcPr>
            <w:tcW w:w="4673" w:type="dxa"/>
          </w:tcPr>
          <w:p w14:paraId="0E68F44B" w14:textId="77777777" w:rsidR="002B4C2F" w:rsidRPr="007F1EBC" w:rsidRDefault="002B4C2F">
            <w:r w:rsidRPr="007F1EBC">
              <w:t xml:space="preserve">Category I: High Environmental and Social Risk. </w:t>
            </w:r>
            <w:r>
              <w:t xml:space="preserve">Comprise </w:t>
            </w:r>
            <w:r w:rsidRPr="007F1EBC">
              <w:t>those operations</w:t>
            </w:r>
          </w:p>
          <w:p w14:paraId="6B709312" w14:textId="77777777" w:rsidR="002B4C2F" w:rsidRPr="007D1ED3" w:rsidRDefault="002B4C2F">
            <w:r w:rsidRPr="007F1EBC">
              <w:t>that have the potential to cause</w:t>
            </w:r>
            <w:r>
              <w:t xml:space="preserve"> </w:t>
            </w:r>
            <w:r w:rsidRPr="007F1EBC">
              <w:t xml:space="preserve">significant, </w:t>
            </w:r>
            <w:proofErr w:type="gramStart"/>
            <w:r w:rsidRPr="007F1EBC">
              <w:t>diverse</w:t>
            </w:r>
            <w:proofErr w:type="gramEnd"/>
            <w:r>
              <w:t xml:space="preserve"> and </w:t>
            </w:r>
            <w:r w:rsidRPr="007F1EBC">
              <w:t>irreversibl</w:t>
            </w:r>
            <w:r>
              <w:t>e</w:t>
            </w:r>
            <w:r w:rsidRPr="007F1EBC">
              <w:t xml:space="preserve"> </w:t>
            </w:r>
            <w:r>
              <w:t xml:space="preserve">adverse </w:t>
            </w:r>
            <w:r w:rsidRPr="007F1EBC">
              <w:t>environmental and/or</w:t>
            </w:r>
            <w:r>
              <w:t xml:space="preserve"> </w:t>
            </w:r>
            <w:r w:rsidRPr="007F1EBC">
              <w:t>social</w:t>
            </w:r>
            <w:r>
              <w:t xml:space="preserve"> </w:t>
            </w:r>
            <w:r w:rsidRPr="007F1EBC">
              <w:t>impacts</w:t>
            </w:r>
            <w:r>
              <w:t xml:space="preserve"> that are </w:t>
            </w:r>
            <w:r w:rsidRPr="007F1EBC">
              <w:t>unprecedented</w:t>
            </w:r>
            <w:r>
              <w:t xml:space="preserve"> or </w:t>
            </w:r>
            <w:r w:rsidRPr="007F1EBC">
              <w:t xml:space="preserve">difficult to evaluate. </w:t>
            </w:r>
            <w:r>
              <w:t>A</w:t>
            </w:r>
            <w:r w:rsidRPr="007F1EBC">
              <w:t>lso includes operations that</w:t>
            </w:r>
            <w:r>
              <w:t xml:space="preserve"> are </w:t>
            </w:r>
            <w:r w:rsidRPr="007F1EBC">
              <w:t>develop</w:t>
            </w:r>
            <w:r>
              <w:t>ed</w:t>
            </w:r>
            <w:r w:rsidRPr="007F1EBC">
              <w:t xml:space="preserve"> in areas or ecosystems of high</w:t>
            </w:r>
            <w:r>
              <w:t xml:space="preserve"> </w:t>
            </w:r>
            <w:r w:rsidRPr="007F1EBC">
              <w:t>environmental</w:t>
            </w:r>
            <w:r>
              <w:t xml:space="preserve"> </w:t>
            </w:r>
            <w:r w:rsidRPr="007F1EBC">
              <w:t xml:space="preserve">sensitivity, which </w:t>
            </w:r>
            <w:r>
              <w:t xml:space="preserve">can affect </w:t>
            </w:r>
            <w:r w:rsidRPr="007F1EBC">
              <w:t>significantly and irreversibly the</w:t>
            </w:r>
            <w:r>
              <w:t xml:space="preserve"> </w:t>
            </w:r>
            <w:r w:rsidRPr="007F1EBC">
              <w:t xml:space="preserve">natural resources or </w:t>
            </w:r>
            <w:r>
              <w:t>significantly alter</w:t>
            </w:r>
            <w:r w:rsidRPr="007F1EBC">
              <w:t xml:space="preserve"> </w:t>
            </w:r>
            <w:r>
              <w:t xml:space="preserve">the </w:t>
            </w:r>
            <w:r w:rsidRPr="007F1EBC">
              <w:t>natur</w:t>
            </w:r>
            <w:r>
              <w:t>e</w:t>
            </w:r>
            <w:r w:rsidRPr="007F1EBC">
              <w:t>,</w:t>
            </w:r>
            <w:r>
              <w:t xml:space="preserve"> </w:t>
            </w:r>
            <w:r w:rsidRPr="007F1EBC">
              <w:t>characteristics, or functional relationships of communities.</w:t>
            </w:r>
            <w:r>
              <w:t xml:space="preserve"> </w:t>
            </w:r>
            <w:r w:rsidRPr="007F1EBC">
              <w:t>Typically,</w:t>
            </w:r>
            <w:r>
              <w:t xml:space="preserve"> </w:t>
            </w:r>
            <w:r w:rsidRPr="007F1EBC">
              <w:t>impacts manifest themselves over wider areas</w:t>
            </w:r>
            <w:r>
              <w:t xml:space="preserve"> </w:t>
            </w:r>
            <w:r w:rsidRPr="007F1EBC">
              <w:t>than t</w:t>
            </w:r>
            <w:r>
              <w:t>he sites of physical intervention.</w:t>
            </w:r>
          </w:p>
        </w:tc>
        <w:tc>
          <w:tcPr>
            <w:tcW w:w="4678" w:type="dxa"/>
          </w:tcPr>
          <w:p w14:paraId="58C711B9" w14:textId="77777777" w:rsidR="002B4C2F" w:rsidRPr="007D1ED3" w:rsidRDefault="002B4C2F">
            <w:r w:rsidRPr="007D1ED3">
              <w:t>Category A. Activities with potential significant adverse environmental and/or social risks and impacts that, individually or cumulatively, are diverse, irreversible, or unprecedented</w:t>
            </w:r>
            <w:r>
              <w:t>;</w:t>
            </w:r>
          </w:p>
        </w:tc>
      </w:tr>
      <w:tr w:rsidR="002B4C2F" w:rsidRPr="007D1ED3" w14:paraId="57C1C055" w14:textId="77777777" w:rsidTr="002B4C2F">
        <w:tc>
          <w:tcPr>
            <w:tcW w:w="4673" w:type="dxa"/>
          </w:tcPr>
          <w:p w14:paraId="5B7CC6C0" w14:textId="77777777" w:rsidR="002B4C2F" w:rsidRPr="002B4C2F" w:rsidRDefault="002B4C2F">
            <w:pPr>
              <w:shd w:val="clear" w:color="auto" w:fill="FFFFFF"/>
            </w:pPr>
            <w:r w:rsidRPr="002B4C2F">
              <w:t xml:space="preserve">Category II: Moderate Environmental and Social Risk. Comprise those operations that have the potential to cause localized, short-term adverse environmental and/or social impacts and for which effective mitigation measures are readily available, and within the reach of the executors and other actors involved. </w:t>
            </w:r>
            <w:r w:rsidRPr="007F1EBC">
              <w:t>Typically,</w:t>
            </w:r>
            <w:r>
              <w:t xml:space="preserve"> </w:t>
            </w:r>
            <w:r w:rsidRPr="002B4C2F">
              <w:t xml:space="preserve">impacts manifest themselves specifically on the sites of </w:t>
            </w:r>
            <w:r>
              <w:t>physical intervention.</w:t>
            </w:r>
          </w:p>
        </w:tc>
        <w:tc>
          <w:tcPr>
            <w:tcW w:w="4678" w:type="dxa"/>
          </w:tcPr>
          <w:p w14:paraId="5CE1A69D" w14:textId="77777777" w:rsidR="002B4C2F" w:rsidRPr="007D1ED3" w:rsidRDefault="002B4C2F">
            <w:r w:rsidRPr="007D1ED3">
              <w:t xml:space="preserve"> (b) Category B. Activities with potential limited adverse environmental and/or social risks and impacts that individually or cumulatively, are few, generally site-specific, largely reversible, and readily addressed through mitigation measures; and </w:t>
            </w:r>
          </w:p>
        </w:tc>
      </w:tr>
      <w:tr w:rsidR="002B4C2F" w:rsidRPr="007D1ED3" w14:paraId="00A9A539" w14:textId="77777777" w:rsidTr="002B4C2F">
        <w:tc>
          <w:tcPr>
            <w:tcW w:w="4673" w:type="dxa"/>
          </w:tcPr>
          <w:p w14:paraId="3EFC5AEA" w14:textId="77777777" w:rsidR="002B4C2F" w:rsidRPr="002B4C2F" w:rsidRDefault="002B4C2F">
            <w:pPr>
              <w:shd w:val="clear" w:color="auto" w:fill="FFFFFF"/>
            </w:pPr>
            <w:r w:rsidRPr="002B4C2F">
              <w:t>Category III: Low Environmental and Social Risk. Comprise those operations that have the potential to cause minimal or no adverse environmental and/or social impacts. These operations may not require a due diligence, but can include requirements which, in the opinion of the environmental specialist, are necessary to ensure that the environmental and social management meets CAF´s principles and standards</w:t>
            </w:r>
          </w:p>
        </w:tc>
        <w:tc>
          <w:tcPr>
            <w:tcW w:w="4678" w:type="dxa"/>
          </w:tcPr>
          <w:p w14:paraId="72389B45" w14:textId="77777777" w:rsidR="002B4C2F" w:rsidRPr="007D1ED3" w:rsidRDefault="002B4C2F">
            <w:r w:rsidRPr="007D1ED3">
              <w:t>(c) Category C. Activities with minimal or no adverse environmental and/or social risks and/or impacts.</w:t>
            </w:r>
          </w:p>
        </w:tc>
      </w:tr>
    </w:tbl>
    <w:p w14:paraId="51211CEC" w14:textId="77777777" w:rsidR="002B4C2F" w:rsidRDefault="002B4C2F" w:rsidP="002B4C2F"/>
    <w:p w14:paraId="28EAB929" w14:textId="4FCE128A" w:rsidR="002B4C2F" w:rsidRDefault="002B4C2F" w:rsidP="002B4C2F"/>
    <w:p w14:paraId="728DFD5A" w14:textId="77777777" w:rsidR="002B4C2F" w:rsidRDefault="002B4C2F" w:rsidP="002B4C2F">
      <w:pPr>
        <w:spacing w:line="240" w:lineRule="auto"/>
        <w:jc w:val="center"/>
        <w:rPr>
          <w:b/>
        </w:rPr>
        <w:sectPr w:rsidR="002B4C2F" w:rsidSect="00AF2AB6">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pPr>
      <w:bookmarkStart w:id="118" w:name="_Hlk109749874"/>
    </w:p>
    <w:p w14:paraId="6EFDF2E8" w14:textId="77777777" w:rsidR="002B4C2F" w:rsidRPr="002B4C2F" w:rsidRDefault="002B4C2F" w:rsidP="002B4C2F">
      <w:pPr>
        <w:spacing w:after="0" w:line="240" w:lineRule="auto"/>
        <w:jc w:val="center"/>
        <w:rPr>
          <w:rFonts w:cs="Arial"/>
          <w:b/>
        </w:rPr>
      </w:pPr>
      <w:r w:rsidRPr="002B4C2F">
        <w:rPr>
          <w:rFonts w:cs="Arial"/>
          <w:b/>
        </w:rPr>
        <w:t>Screening of safeguard evaluation</w:t>
      </w:r>
    </w:p>
    <w:tbl>
      <w:tblPr>
        <w:tblStyle w:val="Tablaconcuadrcula"/>
        <w:tblW w:w="13320" w:type="dxa"/>
        <w:tblLook w:val="04A0" w:firstRow="1" w:lastRow="0" w:firstColumn="1" w:lastColumn="0" w:noHBand="0" w:noVBand="1"/>
      </w:tblPr>
      <w:tblGrid>
        <w:gridCol w:w="2613"/>
        <w:gridCol w:w="2470"/>
        <w:gridCol w:w="5940"/>
        <w:gridCol w:w="2297"/>
      </w:tblGrid>
      <w:tr w:rsidR="002B4C2F" w:rsidRPr="002B4C2F" w14:paraId="3D06F1C3" w14:textId="77777777" w:rsidTr="002B4C2F">
        <w:tc>
          <w:tcPr>
            <w:tcW w:w="13320" w:type="dxa"/>
            <w:gridSpan w:val="4"/>
          </w:tcPr>
          <w:bookmarkEnd w:id="118"/>
          <w:p w14:paraId="1F5C8FD7" w14:textId="65A6119D" w:rsidR="002B4C2F" w:rsidRPr="002B4C2F" w:rsidRDefault="002B4C2F" w:rsidP="002B4C2F">
            <w:pPr>
              <w:jc w:val="center"/>
              <w:rPr>
                <w:rFonts w:cs="Arial"/>
                <w:b/>
              </w:rPr>
            </w:pPr>
            <w:r w:rsidRPr="002B4C2F">
              <w:rPr>
                <w:rFonts w:cs="Arial"/>
                <w:b/>
              </w:rPr>
              <w:t xml:space="preserve">Sensitivity </w:t>
            </w:r>
            <w:r w:rsidR="00D625D3">
              <w:rPr>
                <w:rFonts w:cs="Arial"/>
                <w:b/>
              </w:rPr>
              <w:t xml:space="preserve">of the </w:t>
            </w:r>
            <w:r w:rsidR="00D86130">
              <w:rPr>
                <w:rFonts w:cs="Arial"/>
                <w:b/>
              </w:rPr>
              <w:t>project site and area of influence</w:t>
            </w:r>
          </w:p>
        </w:tc>
      </w:tr>
      <w:tr w:rsidR="002B4C2F" w:rsidRPr="002B4C2F" w14:paraId="6CB658FE" w14:textId="77777777" w:rsidTr="000E34A2">
        <w:tc>
          <w:tcPr>
            <w:tcW w:w="2613" w:type="dxa"/>
          </w:tcPr>
          <w:p w14:paraId="4E75AAB1" w14:textId="77777777" w:rsidR="002B4C2F" w:rsidRPr="002B4C2F" w:rsidRDefault="002B4C2F" w:rsidP="002B4C2F">
            <w:pPr>
              <w:rPr>
                <w:rFonts w:cs="Arial"/>
                <w:b/>
              </w:rPr>
            </w:pPr>
            <w:r w:rsidRPr="002B4C2F">
              <w:rPr>
                <w:rFonts w:cs="Arial"/>
                <w:b/>
              </w:rPr>
              <w:t>Component</w:t>
            </w:r>
          </w:p>
        </w:tc>
        <w:tc>
          <w:tcPr>
            <w:tcW w:w="2470" w:type="dxa"/>
          </w:tcPr>
          <w:p w14:paraId="132234E0" w14:textId="77777777" w:rsidR="002B4C2F" w:rsidRPr="002B4C2F" w:rsidRDefault="002B4C2F" w:rsidP="002B4C2F">
            <w:pPr>
              <w:rPr>
                <w:rFonts w:cs="Arial"/>
                <w:b/>
              </w:rPr>
            </w:pPr>
            <w:r w:rsidRPr="002B4C2F">
              <w:rPr>
                <w:rFonts w:cs="Arial"/>
                <w:b/>
              </w:rPr>
              <w:t>Aspect</w:t>
            </w:r>
          </w:p>
        </w:tc>
        <w:tc>
          <w:tcPr>
            <w:tcW w:w="5940" w:type="dxa"/>
          </w:tcPr>
          <w:p w14:paraId="2253306C" w14:textId="77777777" w:rsidR="002B4C2F" w:rsidRPr="002B4C2F" w:rsidRDefault="002B4C2F" w:rsidP="002B4C2F">
            <w:pPr>
              <w:rPr>
                <w:rFonts w:cs="Arial"/>
                <w:b/>
              </w:rPr>
            </w:pPr>
            <w:r w:rsidRPr="002B4C2F">
              <w:rPr>
                <w:rFonts w:cs="Arial"/>
                <w:b/>
              </w:rPr>
              <w:t>Features</w:t>
            </w:r>
          </w:p>
        </w:tc>
        <w:tc>
          <w:tcPr>
            <w:tcW w:w="2297" w:type="dxa"/>
          </w:tcPr>
          <w:p w14:paraId="6C7557CE" w14:textId="0D9540E0" w:rsidR="002B4C2F" w:rsidRPr="002B4C2F" w:rsidRDefault="002B4C2F" w:rsidP="002B4C2F">
            <w:pPr>
              <w:rPr>
                <w:rFonts w:cs="Arial"/>
                <w:b/>
              </w:rPr>
            </w:pPr>
            <w:r w:rsidRPr="002B4C2F">
              <w:rPr>
                <w:rFonts w:cs="Arial"/>
                <w:b/>
              </w:rPr>
              <w:t xml:space="preserve">Risk </w:t>
            </w:r>
            <w:r w:rsidR="00AB0571" w:rsidRPr="002B4C2F">
              <w:rPr>
                <w:rFonts w:cs="Arial"/>
                <w:b/>
              </w:rPr>
              <w:t>scale</w:t>
            </w:r>
            <w:r w:rsidRPr="002B4C2F">
              <w:rPr>
                <w:rFonts w:cs="Arial"/>
                <w:b/>
              </w:rPr>
              <w:t xml:space="preserve"> (</w:t>
            </w:r>
            <w:r w:rsidR="00D625D3">
              <w:rPr>
                <w:rFonts w:cs="Arial"/>
                <w:b/>
              </w:rPr>
              <w:t xml:space="preserve">High </w:t>
            </w:r>
            <w:r w:rsidRPr="002B4C2F">
              <w:rPr>
                <w:rFonts w:cs="Arial"/>
                <w:b/>
              </w:rPr>
              <w:t xml:space="preserve">1, </w:t>
            </w:r>
            <w:r w:rsidR="00D625D3">
              <w:rPr>
                <w:rFonts w:cs="Arial"/>
                <w:b/>
              </w:rPr>
              <w:t xml:space="preserve">medium </w:t>
            </w:r>
            <w:r w:rsidRPr="002B4C2F">
              <w:rPr>
                <w:rFonts w:cs="Arial"/>
                <w:b/>
              </w:rPr>
              <w:t>2,</w:t>
            </w:r>
            <w:r w:rsidR="00D625D3">
              <w:rPr>
                <w:rFonts w:cs="Arial"/>
                <w:b/>
              </w:rPr>
              <w:t xml:space="preserve"> low</w:t>
            </w:r>
            <w:r w:rsidRPr="002B4C2F">
              <w:rPr>
                <w:rFonts w:cs="Arial"/>
                <w:b/>
              </w:rPr>
              <w:t xml:space="preserve"> 3)</w:t>
            </w:r>
          </w:p>
        </w:tc>
      </w:tr>
      <w:tr w:rsidR="002B4C2F" w:rsidRPr="002B4C2F" w14:paraId="591B0576" w14:textId="77777777" w:rsidTr="000E34A2">
        <w:tc>
          <w:tcPr>
            <w:tcW w:w="2613" w:type="dxa"/>
            <w:vMerge w:val="restart"/>
            <w:vAlign w:val="center"/>
          </w:tcPr>
          <w:p w14:paraId="2A80FC7D" w14:textId="2EFEAB3F" w:rsidR="002B4C2F" w:rsidRPr="002B4C2F" w:rsidRDefault="006F4E07" w:rsidP="002B4C2F">
            <w:pPr>
              <w:rPr>
                <w:rFonts w:cs="Arial"/>
                <w:b/>
              </w:rPr>
            </w:pPr>
            <w:proofErr w:type="spellStart"/>
            <w:r>
              <w:rPr>
                <w:rFonts w:cs="Arial"/>
              </w:rPr>
              <w:t>B</w:t>
            </w:r>
            <w:r w:rsidR="00AB0571">
              <w:rPr>
                <w:rFonts w:cs="Arial"/>
              </w:rPr>
              <w:t>io</w:t>
            </w:r>
            <w:r>
              <w:rPr>
                <w:rFonts w:cs="Arial"/>
              </w:rPr>
              <w:t>ophysical</w:t>
            </w:r>
            <w:proofErr w:type="spellEnd"/>
          </w:p>
        </w:tc>
        <w:tc>
          <w:tcPr>
            <w:tcW w:w="2470" w:type="dxa"/>
            <w:vMerge w:val="restart"/>
            <w:vAlign w:val="center"/>
          </w:tcPr>
          <w:p w14:paraId="316316C3" w14:textId="77777777" w:rsidR="002B4C2F" w:rsidRPr="002B4C2F" w:rsidRDefault="002B4C2F" w:rsidP="002B4C2F">
            <w:pPr>
              <w:jc w:val="left"/>
              <w:rPr>
                <w:rFonts w:cs="Arial"/>
              </w:rPr>
            </w:pPr>
            <w:r w:rsidRPr="002B4C2F">
              <w:rPr>
                <w:rFonts w:cs="Arial"/>
              </w:rPr>
              <w:t>High conservation value or vulnerable areas</w:t>
            </w:r>
          </w:p>
        </w:tc>
        <w:tc>
          <w:tcPr>
            <w:tcW w:w="5940" w:type="dxa"/>
          </w:tcPr>
          <w:p w14:paraId="416CF807" w14:textId="77777777" w:rsidR="002B4C2F" w:rsidRPr="002B4C2F" w:rsidRDefault="002B4C2F" w:rsidP="002B4C2F">
            <w:pPr>
              <w:rPr>
                <w:rFonts w:cs="Arial"/>
              </w:rPr>
            </w:pPr>
            <w:r w:rsidRPr="002B4C2F">
              <w:rPr>
                <w:rFonts w:cs="Arial"/>
              </w:rPr>
              <w:t>Existing or proposed protected areas/ Areas recognized in the framework of international conventions/Ecological or biological corridors</w:t>
            </w:r>
          </w:p>
        </w:tc>
        <w:tc>
          <w:tcPr>
            <w:tcW w:w="2297" w:type="dxa"/>
          </w:tcPr>
          <w:p w14:paraId="0C73FF6F" w14:textId="77777777" w:rsidR="002B4C2F" w:rsidRPr="002B4C2F" w:rsidRDefault="002B4C2F" w:rsidP="002B4C2F">
            <w:pPr>
              <w:rPr>
                <w:rFonts w:cs="Arial"/>
              </w:rPr>
            </w:pPr>
            <w:r w:rsidRPr="002B4C2F">
              <w:rPr>
                <w:rFonts w:cs="Arial"/>
              </w:rPr>
              <w:t xml:space="preserve"> </w:t>
            </w:r>
          </w:p>
        </w:tc>
      </w:tr>
      <w:tr w:rsidR="002B4C2F" w:rsidRPr="002B4C2F" w14:paraId="7A6FD5C2" w14:textId="77777777" w:rsidTr="000E34A2">
        <w:tc>
          <w:tcPr>
            <w:tcW w:w="2613" w:type="dxa"/>
            <w:vMerge/>
          </w:tcPr>
          <w:p w14:paraId="7CAD6C49" w14:textId="77777777" w:rsidR="002B4C2F" w:rsidRPr="002B4C2F" w:rsidRDefault="002B4C2F" w:rsidP="002B4C2F">
            <w:pPr>
              <w:rPr>
                <w:rFonts w:cs="Arial"/>
                <w:b/>
              </w:rPr>
            </w:pPr>
          </w:p>
        </w:tc>
        <w:tc>
          <w:tcPr>
            <w:tcW w:w="2470" w:type="dxa"/>
            <w:vMerge/>
          </w:tcPr>
          <w:p w14:paraId="2420265B" w14:textId="77777777" w:rsidR="002B4C2F" w:rsidRPr="002B4C2F" w:rsidRDefault="002B4C2F" w:rsidP="002B4C2F">
            <w:pPr>
              <w:rPr>
                <w:rFonts w:cs="Arial"/>
                <w:b/>
              </w:rPr>
            </w:pPr>
          </w:p>
        </w:tc>
        <w:tc>
          <w:tcPr>
            <w:tcW w:w="5940" w:type="dxa"/>
          </w:tcPr>
          <w:p w14:paraId="006C3207" w14:textId="77777777" w:rsidR="002B4C2F" w:rsidRPr="002B4C2F" w:rsidRDefault="002B4C2F" w:rsidP="002B4C2F">
            <w:pPr>
              <w:rPr>
                <w:rFonts w:cs="Arial"/>
              </w:rPr>
            </w:pPr>
            <w:r w:rsidRPr="002B4C2F">
              <w:rPr>
                <w:rFonts w:cs="Arial"/>
              </w:rPr>
              <w:t>Vulnerable and/or fragmented ecosystems/habitats of concern (</w:t>
            </w:r>
            <w:proofErr w:type="gramStart"/>
            <w:r w:rsidRPr="002B4C2F">
              <w:rPr>
                <w:rFonts w:cs="Arial"/>
              </w:rPr>
              <w:t>e.g.</w:t>
            </w:r>
            <w:proofErr w:type="gramEnd"/>
            <w:r w:rsidRPr="002B4C2F">
              <w:rPr>
                <w:rFonts w:cs="Arial"/>
              </w:rPr>
              <w:t xml:space="preserve"> corals, wetlands, mangroves, dry forests, nesting or breeding sites, etc).</w:t>
            </w:r>
          </w:p>
        </w:tc>
        <w:tc>
          <w:tcPr>
            <w:tcW w:w="2297" w:type="dxa"/>
          </w:tcPr>
          <w:p w14:paraId="51C7D629" w14:textId="77777777" w:rsidR="002B4C2F" w:rsidRPr="002B4C2F" w:rsidRDefault="002B4C2F" w:rsidP="002B4C2F">
            <w:pPr>
              <w:rPr>
                <w:rFonts w:cs="Arial"/>
                <w:b/>
              </w:rPr>
            </w:pPr>
          </w:p>
        </w:tc>
      </w:tr>
      <w:tr w:rsidR="002B4C2F" w:rsidRPr="002B4C2F" w14:paraId="38081176" w14:textId="77777777" w:rsidTr="000E34A2">
        <w:tc>
          <w:tcPr>
            <w:tcW w:w="2613" w:type="dxa"/>
            <w:vMerge/>
          </w:tcPr>
          <w:p w14:paraId="2F686A3D" w14:textId="77777777" w:rsidR="002B4C2F" w:rsidRPr="002B4C2F" w:rsidRDefault="002B4C2F" w:rsidP="002B4C2F">
            <w:pPr>
              <w:rPr>
                <w:rFonts w:cs="Arial"/>
                <w:b/>
              </w:rPr>
            </w:pPr>
          </w:p>
        </w:tc>
        <w:tc>
          <w:tcPr>
            <w:tcW w:w="2470" w:type="dxa"/>
            <w:vMerge/>
          </w:tcPr>
          <w:p w14:paraId="53C07C40" w14:textId="77777777" w:rsidR="002B4C2F" w:rsidRPr="002B4C2F" w:rsidRDefault="002B4C2F" w:rsidP="002B4C2F">
            <w:pPr>
              <w:rPr>
                <w:rFonts w:cs="Arial"/>
                <w:b/>
              </w:rPr>
            </w:pPr>
          </w:p>
        </w:tc>
        <w:tc>
          <w:tcPr>
            <w:tcW w:w="5940" w:type="dxa"/>
          </w:tcPr>
          <w:p w14:paraId="1A6B9824" w14:textId="77777777" w:rsidR="002B4C2F" w:rsidRPr="002B4C2F" w:rsidRDefault="002B4C2F" w:rsidP="002B4C2F">
            <w:pPr>
              <w:rPr>
                <w:rFonts w:cs="Arial"/>
              </w:rPr>
            </w:pPr>
            <w:r w:rsidRPr="002B4C2F">
              <w:rPr>
                <w:rFonts w:cs="Arial"/>
              </w:rPr>
              <w:t>Restoration zone ecosystems of the interest.</w:t>
            </w:r>
          </w:p>
        </w:tc>
        <w:tc>
          <w:tcPr>
            <w:tcW w:w="2297" w:type="dxa"/>
          </w:tcPr>
          <w:p w14:paraId="2CB85E58" w14:textId="77777777" w:rsidR="002B4C2F" w:rsidRPr="002B4C2F" w:rsidRDefault="002B4C2F" w:rsidP="002B4C2F">
            <w:pPr>
              <w:rPr>
                <w:rFonts w:cs="Arial"/>
                <w:b/>
              </w:rPr>
            </w:pPr>
          </w:p>
        </w:tc>
      </w:tr>
      <w:tr w:rsidR="002B4C2F" w:rsidRPr="002B4C2F" w14:paraId="43F66288" w14:textId="77777777" w:rsidTr="000E34A2">
        <w:tc>
          <w:tcPr>
            <w:tcW w:w="2613" w:type="dxa"/>
            <w:vMerge/>
          </w:tcPr>
          <w:p w14:paraId="2892BE40" w14:textId="77777777" w:rsidR="002B4C2F" w:rsidRPr="002B4C2F" w:rsidRDefault="002B4C2F" w:rsidP="002B4C2F">
            <w:pPr>
              <w:rPr>
                <w:rFonts w:cs="Arial"/>
                <w:b/>
              </w:rPr>
            </w:pPr>
          </w:p>
        </w:tc>
        <w:tc>
          <w:tcPr>
            <w:tcW w:w="2470" w:type="dxa"/>
            <w:vMerge/>
          </w:tcPr>
          <w:p w14:paraId="209963AF" w14:textId="77777777" w:rsidR="002B4C2F" w:rsidRPr="002B4C2F" w:rsidRDefault="002B4C2F" w:rsidP="002B4C2F">
            <w:pPr>
              <w:rPr>
                <w:rFonts w:cs="Arial"/>
                <w:b/>
              </w:rPr>
            </w:pPr>
          </w:p>
        </w:tc>
        <w:tc>
          <w:tcPr>
            <w:tcW w:w="5940" w:type="dxa"/>
          </w:tcPr>
          <w:p w14:paraId="37920086" w14:textId="77777777" w:rsidR="002B4C2F" w:rsidRPr="002B4C2F" w:rsidRDefault="002B4C2F" w:rsidP="002B4C2F">
            <w:pPr>
              <w:rPr>
                <w:rFonts w:cs="Arial"/>
              </w:rPr>
            </w:pPr>
            <w:r w:rsidRPr="002B4C2F">
              <w:rPr>
                <w:rFonts w:cs="Arial"/>
              </w:rPr>
              <w:t xml:space="preserve">Intervened territories with presence of secondary vegetation, </w:t>
            </w:r>
            <w:proofErr w:type="gramStart"/>
            <w:r w:rsidRPr="002B4C2F">
              <w:rPr>
                <w:rFonts w:cs="Arial"/>
              </w:rPr>
              <w:t>whether or not</w:t>
            </w:r>
            <w:proofErr w:type="gramEnd"/>
            <w:r w:rsidRPr="002B4C2F">
              <w:rPr>
                <w:rFonts w:cs="Arial"/>
              </w:rPr>
              <w:t xml:space="preserve"> adjacent to protected areas / Ecosystem edge zones habitats</w:t>
            </w:r>
          </w:p>
        </w:tc>
        <w:tc>
          <w:tcPr>
            <w:tcW w:w="2297" w:type="dxa"/>
          </w:tcPr>
          <w:p w14:paraId="772AE73F" w14:textId="77777777" w:rsidR="002B4C2F" w:rsidRPr="002B4C2F" w:rsidRDefault="002B4C2F" w:rsidP="002B4C2F">
            <w:pPr>
              <w:rPr>
                <w:rFonts w:cs="Arial"/>
                <w:b/>
              </w:rPr>
            </w:pPr>
          </w:p>
        </w:tc>
      </w:tr>
      <w:tr w:rsidR="002B4C2F" w:rsidRPr="002B4C2F" w14:paraId="7BAD6B9E" w14:textId="77777777" w:rsidTr="000E34A2">
        <w:tc>
          <w:tcPr>
            <w:tcW w:w="2613" w:type="dxa"/>
            <w:vMerge/>
          </w:tcPr>
          <w:p w14:paraId="5E2EE4FB" w14:textId="77777777" w:rsidR="002B4C2F" w:rsidRPr="002B4C2F" w:rsidRDefault="002B4C2F" w:rsidP="002B4C2F">
            <w:pPr>
              <w:rPr>
                <w:rFonts w:cs="Arial"/>
                <w:b/>
              </w:rPr>
            </w:pPr>
          </w:p>
        </w:tc>
        <w:tc>
          <w:tcPr>
            <w:tcW w:w="2470" w:type="dxa"/>
            <w:vMerge/>
          </w:tcPr>
          <w:p w14:paraId="48134866" w14:textId="77777777" w:rsidR="002B4C2F" w:rsidRPr="002B4C2F" w:rsidRDefault="002B4C2F" w:rsidP="002B4C2F">
            <w:pPr>
              <w:rPr>
                <w:rFonts w:cs="Arial"/>
                <w:b/>
              </w:rPr>
            </w:pPr>
          </w:p>
        </w:tc>
        <w:tc>
          <w:tcPr>
            <w:tcW w:w="5940" w:type="dxa"/>
          </w:tcPr>
          <w:p w14:paraId="26CD5B61" w14:textId="77777777" w:rsidR="002B4C2F" w:rsidRPr="002B4C2F" w:rsidRDefault="002B4C2F" w:rsidP="002B4C2F">
            <w:pPr>
              <w:rPr>
                <w:rFonts w:cs="Arial"/>
              </w:rPr>
            </w:pPr>
            <w:r w:rsidRPr="002B4C2F">
              <w:rPr>
                <w:rFonts w:cs="Arial"/>
              </w:rPr>
              <w:t>Urban or rural areas already deforested or heavily intervened</w:t>
            </w:r>
          </w:p>
        </w:tc>
        <w:tc>
          <w:tcPr>
            <w:tcW w:w="2297" w:type="dxa"/>
          </w:tcPr>
          <w:p w14:paraId="2F37686A" w14:textId="77777777" w:rsidR="002B4C2F" w:rsidRPr="002B4C2F" w:rsidRDefault="002B4C2F" w:rsidP="002B4C2F">
            <w:pPr>
              <w:rPr>
                <w:rFonts w:cs="Arial"/>
                <w:b/>
              </w:rPr>
            </w:pPr>
          </w:p>
        </w:tc>
      </w:tr>
      <w:tr w:rsidR="002B4C2F" w:rsidRPr="002B4C2F" w14:paraId="03DC9847" w14:textId="77777777" w:rsidTr="000E34A2">
        <w:tc>
          <w:tcPr>
            <w:tcW w:w="2613" w:type="dxa"/>
            <w:vMerge/>
          </w:tcPr>
          <w:p w14:paraId="470686AE" w14:textId="77777777" w:rsidR="002B4C2F" w:rsidRPr="002B4C2F" w:rsidRDefault="002B4C2F" w:rsidP="002B4C2F">
            <w:pPr>
              <w:rPr>
                <w:rFonts w:cs="Arial"/>
                <w:b/>
              </w:rPr>
            </w:pPr>
          </w:p>
        </w:tc>
        <w:tc>
          <w:tcPr>
            <w:tcW w:w="2470" w:type="dxa"/>
            <w:vMerge/>
          </w:tcPr>
          <w:p w14:paraId="6069ABD5" w14:textId="77777777" w:rsidR="002B4C2F" w:rsidRPr="002B4C2F" w:rsidRDefault="002B4C2F" w:rsidP="002B4C2F">
            <w:pPr>
              <w:rPr>
                <w:rFonts w:cs="Arial"/>
                <w:b/>
              </w:rPr>
            </w:pPr>
          </w:p>
        </w:tc>
        <w:tc>
          <w:tcPr>
            <w:tcW w:w="5940" w:type="dxa"/>
          </w:tcPr>
          <w:p w14:paraId="50F1F66D" w14:textId="77777777" w:rsidR="002B4C2F" w:rsidRPr="002B4C2F" w:rsidRDefault="002B4C2F" w:rsidP="002B4C2F">
            <w:pPr>
              <w:rPr>
                <w:rFonts w:cs="Arial"/>
              </w:rPr>
            </w:pPr>
            <w:r w:rsidRPr="002B4C2F">
              <w:rPr>
                <w:rFonts w:cs="Arial"/>
              </w:rPr>
              <w:t>Regions without areas of high conservation value.</w:t>
            </w:r>
          </w:p>
        </w:tc>
        <w:tc>
          <w:tcPr>
            <w:tcW w:w="2297" w:type="dxa"/>
          </w:tcPr>
          <w:p w14:paraId="6D878A96" w14:textId="77777777" w:rsidR="002B4C2F" w:rsidRPr="002B4C2F" w:rsidRDefault="002B4C2F" w:rsidP="002B4C2F">
            <w:pPr>
              <w:rPr>
                <w:rFonts w:cs="Arial"/>
                <w:b/>
              </w:rPr>
            </w:pPr>
          </w:p>
        </w:tc>
      </w:tr>
      <w:tr w:rsidR="002B4C2F" w:rsidRPr="002B4C2F" w14:paraId="77165250" w14:textId="77777777" w:rsidTr="000E34A2">
        <w:tc>
          <w:tcPr>
            <w:tcW w:w="2613" w:type="dxa"/>
            <w:vMerge/>
          </w:tcPr>
          <w:p w14:paraId="40CA91F7" w14:textId="77777777" w:rsidR="002B4C2F" w:rsidRPr="002B4C2F" w:rsidRDefault="002B4C2F" w:rsidP="002B4C2F">
            <w:pPr>
              <w:rPr>
                <w:rFonts w:cs="Arial"/>
                <w:b/>
              </w:rPr>
            </w:pPr>
          </w:p>
        </w:tc>
        <w:tc>
          <w:tcPr>
            <w:tcW w:w="2470" w:type="dxa"/>
            <w:vMerge/>
          </w:tcPr>
          <w:p w14:paraId="364E9715" w14:textId="77777777" w:rsidR="002B4C2F" w:rsidRPr="002B4C2F" w:rsidRDefault="002B4C2F" w:rsidP="002B4C2F">
            <w:pPr>
              <w:rPr>
                <w:rFonts w:cs="Arial"/>
                <w:b/>
              </w:rPr>
            </w:pPr>
          </w:p>
        </w:tc>
        <w:tc>
          <w:tcPr>
            <w:tcW w:w="5940" w:type="dxa"/>
          </w:tcPr>
          <w:p w14:paraId="0006DF1E" w14:textId="77777777" w:rsidR="002B4C2F" w:rsidRPr="002B4C2F" w:rsidRDefault="002B4C2F" w:rsidP="002B4C2F">
            <w:pPr>
              <w:rPr>
                <w:rFonts w:cs="Arial"/>
              </w:rPr>
            </w:pPr>
            <w:r w:rsidRPr="002B4C2F">
              <w:rPr>
                <w:rFonts w:cs="Arial"/>
              </w:rPr>
              <w:t>Presence of endemic species</w:t>
            </w:r>
          </w:p>
        </w:tc>
        <w:tc>
          <w:tcPr>
            <w:tcW w:w="2297" w:type="dxa"/>
          </w:tcPr>
          <w:p w14:paraId="22AA3740" w14:textId="77777777" w:rsidR="002B4C2F" w:rsidRPr="002B4C2F" w:rsidRDefault="002B4C2F" w:rsidP="002B4C2F">
            <w:pPr>
              <w:rPr>
                <w:rFonts w:cs="Arial"/>
                <w:b/>
              </w:rPr>
            </w:pPr>
          </w:p>
        </w:tc>
      </w:tr>
      <w:tr w:rsidR="002B4C2F" w:rsidRPr="002B4C2F" w14:paraId="50101FA3" w14:textId="77777777" w:rsidTr="000E34A2">
        <w:tc>
          <w:tcPr>
            <w:tcW w:w="2613" w:type="dxa"/>
            <w:vMerge/>
          </w:tcPr>
          <w:p w14:paraId="2E60BA27" w14:textId="77777777" w:rsidR="002B4C2F" w:rsidRPr="002B4C2F" w:rsidRDefault="002B4C2F" w:rsidP="002B4C2F">
            <w:pPr>
              <w:rPr>
                <w:rFonts w:cs="Arial"/>
                <w:b/>
              </w:rPr>
            </w:pPr>
          </w:p>
        </w:tc>
        <w:tc>
          <w:tcPr>
            <w:tcW w:w="2470" w:type="dxa"/>
            <w:vMerge/>
          </w:tcPr>
          <w:p w14:paraId="4FD24402" w14:textId="77777777" w:rsidR="002B4C2F" w:rsidRPr="002B4C2F" w:rsidRDefault="002B4C2F" w:rsidP="002B4C2F">
            <w:pPr>
              <w:rPr>
                <w:rFonts w:cs="Arial"/>
                <w:b/>
              </w:rPr>
            </w:pPr>
          </w:p>
        </w:tc>
        <w:tc>
          <w:tcPr>
            <w:tcW w:w="5940" w:type="dxa"/>
          </w:tcPr>
          <w:p w14:paraId="5087D266" w14:textId="77777777" w:rsidR="002B4C2F" w:rsidRPr="002B4C2F" w:rsidRDefault="002B4C2F" w:rsidP="002B4C2F">
            <w:pPr>
              <w:rPr>
                <w:rFonts w:cs="Arial"/>
              </w:rPr>
            </w:pPr>
            <w:r w:rsidRPr="002B4C2F">
              <w:rPr>
                <w:rFonts w:cs="Arial"/>
              </w:rPr>
              <w:t>Presence of Migratory Species</w:t>
            </w:r>
          </w:p>
        </w:tc>
        <w:tc>
          <w:tcPr>
            <w:tcW w:w="2297" w:type="dxa"/>
          </w:tcPr>
          <w:p w14:paraId="059F6C73" w14:textId="77777777" w:rsidR="002B4C2F" w:rsidRPr="002B4C2F" w:rsidRDefault="002B4C2F" w:rsidP="002B4C2F">
            <w:pPr>
              <w:rPr>
                <w:rFonts w:cs="Arial"/>
                <w:b/>
              </w:rPr>
            </w:pPr>
          </w:p>
        </w:tc>
      </w:tr>
      <w:tr w:rsidR="002B4C2F" w:rsidRPr="002B4C2F" w14:paraId="6D5B39AE" w14:textId="77777777" w:rsidTr="000E34A2">
        <w:tc>
          <w:tcPr>
            <w:tcW w:w="2613" w:type="dxa"/>
            <w:vMerge/>
          </w:tcPr>
          <w:p w14:paraId="159AA255" w14:textId="77777777" w:rsidR="002B4C2F" w:rsidRPr="002B4C2F" w:rsidRDefault="002B4C2F" w:rsidP="002B4C2F">
            <w:pPr>
              <w:rPr>
                <w:rFonts w:cs="Arial"/>
                <w:b/>
              </w:rPr>
            </w:pPr>
          </w:p>
        </w:tc>
        <w:tc>
          <w:tcPr>
            <w:tcW w:w="2470" w:type="dxa"/>
            <w:vMerge/>
          </w:tcPr>
          <w:p w14:paraId="685262DB" w14:textId="77777777" w:rsidR="002B4C2F" w:rsidRPr="002B4C2F" w:rsidRDefault="002B4C2F" w:rsidP="002B4C2F">
            <w:pPr>
              <w:rPr>
                <w:rFonts w:cs="Arial"/>
                <w:b/>
              </w:rPr>
            </w:pPr>
          </w:p>
        </w:tc>
        <w:tc>
          <w:tcPr>
            <w:tcW w:w="5940" w:type="dxa"/>
          </w:tcPr>
          <w:p w14:paraId="3BA74C71" w14:textId="77777777" w:rsidR="002B4C2F" w:rsidRPr="002B4C2F" w:rsidRDefault="002B4C2F" w:rsidP="002B4C2F">
            <w:pPr>
              <w:rPr>
                <w:rFonts w:cs="Arial"/>
                <w:b/>
              </w:rPr>
            </w:pPr>
            <w:r w:rsidRPr="002B4C2F">
              <w:rPr>
                <w:rFonts w:cs="Arial"/>
              </w:rPr>
              <w:t>Presence of threatened or endangered species.</w:t>
            </w:r>
          </w:p>
        </w:tc>
        <w:tc>
          <w:tcPr>
            <w:tcW w:w="2297" w:type="dxa"/>
          </w:tcPr>
          <w:p w14:paraId="1C2C5F93" w14:textId="77777777" w:rsidR="002B4C2F" w:rsidRPr="002B4C2F" w:rsidRDefault="002B4C2F" w:rsidP="002B4C2F">
            <w:pPr>
              <w:rPr>
                <w:rFonts w:cs="Arial"/>
                <w:b/>
              </w:rPr>
            </w:pPr>
          </w:p>
        </w:tc>
      </w:tr>
      <w:tr w:rsidR="002B4C2F" w:rsidRPr="002B4C2F" w14:paraId="7C7337B0" w14:textId="77777777" w:rsidTr="000E34A2">
        <w:tc>
          <w:tcPr>
            <w:tcW w:w="2613" w:type="dxa"/>
            <w:vMerge/>
          </w:tcPr>
          <w:p w14:paraId="5FC0B9A7" w14:textId="77777777" w:rsidR="002B4C2F" w:rsidRPr="002B4C2F" w:rsidRDefault="002B4C2F" w:rsidP="002B4C2F">
            <w:pPr>
              <w:rPr>
                <w:rFonts w:cs="Arial"/>
                <w:b/>
              </w:rPr>
            </w:pPr>
          </w:p>
        </w:tc>
        <w:tc>
          <w:tcPr>
            <w:tcW w:w="2470" w:type="dxa"/>
            <w:vMerge w:val="restart"/>
            <w:vAlign w:val="center"/>
          </w:tcPr>
          <w:p w14:paraId="7F9F15CE" w14:textId="77777777" w:rsidR="002B4C2F" w:rsidRPr="002B4C2F" w:rsidRDefault="002B4C2F" w:rsidP="00873187">
            <w:pPr>
              <w:jc w:val="left"/>
              <w:rPr>
                <w:rFonts w:cs="Arial"/>
              </w:rPr>
            </w:pPr>
            <w:r w:rsidRPr="002B4C2F">
              <w:rPr>
                <w:rFonts w:cs="Arial"/>
              </w:rPr>
              <w:t>Presence of non-climate natural hazards</w:t>
            </w:r>
          </w:p>
        </w:tc>
        <w:tc>
          <w:tcPr>
            <w:tcW w:w="5940" w:type="dxa"/>
          </w:tcPr>
          <w:p w14:paraId="15146D62" w14:textId="77777777" w:rsidR="002B4C2F" w:rsidRPr="002B4C2F" w:rsidRDefault="002B4C2F" w:rsidP="002B4C2F">
            <w:pPr>
              <w:rPr>
                <w:rFonts w:cs="Arial"/>
              </w:rPr>
            </w:pPr>
            <w:r w:rsidRPr="002B4C2F">
              <w:rPr>
                <w:rFonts w:cs="Arial"/>
              </w:rPr>
              <w:t>Geological instability</w:t>
            </w:r>
          </w:p>
        </w:tc>
        <w:tc>
          <w:tcPr>
            <w:tcW w:w="2297" w:type="dxa"/>
          </w:tcPr>
          <w:p w14:paraId="4BB511A8" w14:textId="77777777" w:rsidR="002B4C2F" w:rsidRPr="002B4C2F" w:rsidRDefault="002B4C2F" w:rsidP="002B4C2F">
            <w:pPr>
              <w:rPr>
                <w:rFonts w:cs="Arial"/>
                <w:b/>
              </w:rPr>
            </w:pPr>
          </w:p>
        </w:tc>
      </w:tr>
      <w:tr w:rsidR="002B4C2F" w:rsidRPr="002B4C2F" w14:paraId="6C9ECCC6" w14:textId="77777777" w:rsidTr="000E34A2">
        <w:tc>
          <w:tcPr>
            <w:tcW w:w="2613" w:type="dxa"/>
            <w:vMerge/>
          </w:tcPr>
          <w:p w14:paraId="6B2C5D16" w14:textId="77777777" w:rsidR="002B4C2F" w:rsidRPr="002B4C2F" w:rsidRDefault="002B4C2F" w:rsidP="002B4C2F">
            <w:pPr>
              <w:rPr>
                <w:rFonts w:cs="Arial"/>
                <w:b/>
              </w:rPr>
            </w:pPr>
          </w:p>
        </w:tc>
        <w:tc>
          <w:tcPr>
            <w:tcW w:w="2470" w:type="dxa"/>
            <w:vMerge/>
          </w:tcPr>
          <w:p w14:paraId="1FFC0277" w14:textId="77777777" w:rsidR="002B4C2F" w:rsidRPr="002B4C2F" w:rsidRDefault="002B4C2F" w:rsidP="002B4C2F">
            <w:pPr>
              <w:rPr>
                <w:rFonts w:cs="Arial"/>
                <w:b/>
              </w:rPr>
            </w:pPr>
          </w:p>
        </w:tc>
        <w:tc>
          <w:tcPr>
            <w:tcW w:w="5940" w:type="dxa"/>
          </w:tcPr>
          <w:p w14:paraId="21F7513F" w14:textId="77777777" w:rsidR="002B4C2F" w:rsidRPr="002B4C2F" w:rsidRDefault="002B4C2F" w:rsidP="002B4C2F">
            <w:pPr>
              <w:rPr>
                <w:rFonts w:cs="Arial"/>
              </w:rPr>
            </w:pPr>
            <w:r w:rsidRPr="002B4C2F">
              <w:rPr>
                <w:rFonts w:cs="Arial"/>
              </w:rPr>
              <w:t>Erosive processes</w:t>
            </w:r>
          </w:p>
        </w:tc>
        <w:tc>
          <w:tcPr>
            <w:tcW w:w="2297" w:type="dxa"/>
          </w:tcPr>
          <w:p w14:paraId="27F49257" w14:textId="77777777" w:rsidR="002B4C2F" w:rsidRPr="002B4C2F" w:rsidRDefault="002B4C2F" w:rsidP="002B4C2F">
            <w:pPr>
              <w:rPr>
                <w:rFonts w:cs="Arial"/>
                <w:b/>
              </w:rPr>
            </w:pPr>
          </w:p>
        </w:tc>
      </w:tr>
      <w:tr w:rsidR="002B4C2F" w:rsidRPr="002B4C2F" w14:paraId="30C82CBE" w14:textId="77777777" w:rsidTr="000E34A2">
        <w:tc>
          <w:tcPr>
            <w:tcW w:w="2613" w:type="dxa"/>
            <w:vMerge/>
          </w:tcPr>
          <w:p w14:paraId="2322B879" w14:textId="77777777" w:rsidR="002B4C2F" w:rsidRPr="002B4C2F" w:rsidRDefault="002B4C2F" w:rsidP="002B4C2F">
            <w:pPr>
              <w:rPr>
                <w:rFonts w:cs="Arial"/>
                <w:b/>
              </w:rPr>
            </w:pPr>
          </w:p>
        </w:tc>
        <w:tc>
          <w:tcPr>
            <w:tcW w:w="2470" w:type="dxa"/>
            <w:vMerge/>
          </w:tcPr>
          <w:p w14:paraId="060BCD35" w14:textId="77777777" w:rsidR="002B4C2F" w:rsidRPr="002B4C2F" w:rsidRDefault="002B4C2F" w:rsidP="002B4C2F">
            <w:pPr>
              <w:rPr>
                <w:rFonts w:cs="Arial"/>
                <w:b/>
              </w:rPr>
            </w:pPr>
          </w:p>
        </w:tc>
        <w:tc>
          <w:tcPr>
            <w:tcW w:w="5940" w:type="dxa"/>
          </w:tcPr>
          <w:p w14:paraId="0DCC162A" w14:textId="77777777" w:rsidR="002B4C2F" w:rsidRPr="002B4C2F" w:rsidRDefault="002B4C2F" w:rsidP="002B4C2F">
            <w:pPr>
              <w:rPr>
                <w:rFonts w:cs="Arial"/>
              </w:rPr>
            </w:pPr>
            <w:r w:rsidRPr="002B4C2F">
              <w:rPr>
                <w:rFonts w:cs="Arial"/>
              </w:rPr>
              <w:t>Seismic risk</w:t>
            </w:r>
          </w:p>
        </w:tc>
        <w:tc>
          <w:tcPr>
            <w:tcW w:w="2297" w:type="dxa"/>
          </w:tcPr>
          <w:p w14:paraId="697B0DAA" w14:textId="77777777" w:rsidR="002B4C2F" w:rsidRPr="002B4C2F" w:rsidRDefault="002B4C2F" w:rsidP="002B4C2F">
            <w:pPr>
              <w:rPr>
                <w:rFonts w:cs="Arial"/>
                <w:b/>
              </w:rPr>
            </w:pPr>
          </w:p>
        </w:tc>
      </w:tr>
      <w:tr w:rsidR="002B4C2F" w:rsidRPr="002B4C2F" w14:paraId="2C2C1984" w14:textId="77777777" w:rsidTr="000E34A2">
        <w:tc>
          <w:tcPr>
            <w:tcW w:w="2613" w:type="dxa"/>
            <w:vMerge/>
          </w:tcPr>
          <w:p w14:paraId="0A6943C7" w14:textId="77777777" w:rsidR="002B4C2F" w:rsidRPr="002B4C2F" w:rsidRDefault="002B4C2F" w:rsidP="002B4C2F">
            <w:pPr>
              <w:rPr>
                <w:rFonts w:cs="Arial"/>
                <w:b/>
              </w:rPr>
            </w:pPr>
          </w:p>
        </w:tc>
        <w:tc>
          <w:tcPr>
            <w:tcW w:w="2470" w:type="dxa"/>
            <w:vMerge/>
          </w:tcPr>
          <w:p w14:paraId="0359D91A" w14:textId="77777777" w:rsidR="002B4C2F" w:rsidRPr="002B4C2F" w:rsidRDefault="002B4C2F" w:rsidP="002B4C2F">
            <w:pPr>
              <w:rPr>
                <w:rFonts w:cs="Arial"/>
                <w:b/>
              </w:rPr>
            </w:pPr>
          </w:p>
        </w:tc>
        <w:tc>
          <w:tcPr>
            <w:tcW w:w="5940" w:type="dxa"/>
          </w:tcPr>
          <w:p w14:paraId="28EA6994" w14:textId="77777777" w:rsidR="002B4C2F" w:rsidRPr="002B4C2F" w:rsidRDefault="002B4C2F" w:rsidP="002B4C2F">
            <w:pPr>
              <w:rPr>
                <w:rFonts w:cs="Arial"/>
              </w:rPr>
            </w:pPr>
            <w:r w:rsidRPr="002B4C2F">
              <w:rPr>
                <w:rFonts w:cs="Arial"/>
              </w:rPr>
              <w:t>Volcanic activity</w:t>
            </w:r>
          </w:p>
        </w:tc>
        <w:tc>
          <w:tcPr>
            <w:tcW w:w="2297" w:type="dxa"/>
          </w:tcPr>
          <w:p w14:paraId="43E10FE8" w14:textId="77777777" w:rsidR="002B4C2F" w:rsidRPr="002B4C2F" w:rsidRDefault="002B4C2F" w:rsidP="002B4C2F">
            <w:pPr>
              <w:rPr>
                <w:rFonts w:cs="Arial"/>
                <w:b/>
              </w:rPr>
            </w:pPr>
          </w:p>
        </w:tc>
      </w:tr>
      <w:tr w:rsidR="002B4C2F" w:rsidRPr="002B4C2F" w14:paraId="4D89D83A" w14:textId="77777777" w:rsidTr="000E34A2">
        <w:tc>
          <w:tcPr>
            <w:tcW w:w="2613" w:type="dxa"/>
            <w:vMerge/>
          </w:tcPr>
          <w:p w14:paraId="32DB9573" w14:textId="77777777" w:rsidR="002B4C2F" w:rsidRPr="002B4C2F" w:rsidRDefault="002B4C2F" w:rsidP="002B4C2F">
            <w:pPr>
              <w:rPr>
                <w:rFonts w:cs="Arial"/>
                <w:b/>
              </w:rPr>
            </w:pPr>
          </w:p>
        </w:tc>
        <w:tc>
          <w:tcPr>
            <w:tcW w:w="2470" w:type="dxa"/>
            <w:vMerge/>
          </w:tcPr>
          <w:p w14:paraId="2D0134F8" w14:textId="77777777" w:rsidR="002B4C2F" w:rsidRPr="002B4C2F" w:rsidRDefault="002B4C2F" w:rsidP="002B4C2F">
            <w:pPr>
              <w:rPr>
                <w:rFonts w:cs="Arial"/>
                <w:b/>
              </w:rPr>
            </w:pPr>
          </w:p>
        </w:tc>
        <w:tc>
          <w:tcPr>
            <w:tcW w:w="5940" w:type="dxa"/>
          </w:tcPr>
          <w:p w14:paraId="2259DFEB" w14:textId="77777777" w:rsidR="002B4C2F" w:rsidRPr="002B4C2F" w:rsidRDefault="002B4C2F" w:rsidP="002B4C2F">
            <w:pPr>
              <w:rPr>
                <w:rFonts w:cs="Arial"/>
              </w:rPr>
            </w:pPr>
            <w:r w:rsidRPr="002B4C2F">
              <w:rPr>
                <w:rFonts w:cs="Arial"/>
              </w:rPr>
              <w:t>Tsunamis</w:t>
            </w:r>
          </w:p>
        </w:tc>
        <w:tc>
          <w:tcPr>
            <w:tcW w:w="2297" w:type="dxa"/>
          </w:tcPr>
          <w:p w14:paraId="6CEFFB55" w14:textId="77777777" w:rsidR="002B4C2F" w:rsidRPr="002B4C2F" w:rsidRDefault="002B4C2F" w:rsidP="002B4C2F">
            <w:pPr>
              <w:rPr>
                <w:rFonts w:cs="Arial"/>
                <w:b/>
              </w:rPr>
            </w:pPr>
          </w:p>
        </w:tc>
      </w:tr>
      <w:tr w:rsidR="002B4C2F" w:rsidRPr="002B4C2F" w14:paraId="561A3CD9" w14:textId="77777777" w:rsidTr="000E34A2">
        <w:tc>
          <w:tcPr>
            <w:tcW w:w="2613" w:type="dxa"/>
            <w:vMerge/>
          </w:tcPr>
          <w:p w14:paraId="3C38F5B9" w14:textId="77777777" w:rsidR="002B4C2F" w:rsidRPr="002B4C2F" w:rsidRDefault="002B4C2F" w:rsidP="002B4C2F">
            <w:pPr>
              <w:rPr>
                <w:rFonts w:cs="Arial"/>
                <w:b/>
              </w:rPr>
            </w:pPr>
          </w:p>
        </w:tc>
        <w:tc>
          <w:tcPr>
            <w:tcW w:w="2470" w:type="dxa"/>
            <w:vMerge w:val="restart"/>
            <w:vAlign w:val="center"/>
          </w:tcPr>
          <w:p w14:paraId="70378D13" w14:textId="77777777" w:rsidR="002B4C2F" w:rsidRPr="002B4C2F" w:rsidRDefault="002B4C2F" w:rsidP="002B4C2F">
            <w:pPr>
              <w:jc w:val="left"/>
              <w:rPr>
                <w:rFonts w:cs="Arial"/>
              </w:rPr>
            </w:pPr>
            <w:r w:rsidRPr="002B4C2F">
              <w:rPr>
                <w:rFonts w:cs="Arial"/>
              </w:rPr>
              <w:t>Pressure on natural resources</w:t>
            </w:r>
          </w:p>
        </w:tc>
        <w:tc>
          <w:tcPr>
            <w:tcW w:w="5940" w:type="dxa"/>
          </w:tcPr>
          <w:p w14:paraId="1E2C0E10" w14:textId="77777777" w:rsidR="002B4C2F" w:rsidRPr="002B4C2F" w:rsidRDefault="002B4C2F" w:rsidP="002B4C2F">
            <w:pPr>
              <w:rPr>
                <w:rFonts w:cs="Arial"/>
              </w:rPr>
            </w:pPr>
            <w:r w:rsidRPr="002B4C2F">
              <w:rPr>
                <w:rFonts w:cs="Arial"/>
              </w:rPr>
              <w:t>Areas with a high likelihood of natural resource use conflicts (or conflicts already underway)</w:t>
            </w:r>
          </w:p>
        </w:tc>
        <w:tc>
          <w:tcPr>
            <w:tcW w:w="2297" w:type="dxa"/>
          </w:tcPr>
          <w:p w14:paraId="1B242E8B" w14:textId="77777777" w:rsidR="002B4C2F" w:rsidRPr="002B4C2F" w:rsidRDefault="002B4C2F" w:rsidP="002B4C2F">
            <w:pPr>
              <w:rPr>
                <w:rFonts w:cs="Arial"/>
                <w:b/>
              </w:rPr>
            </w:pPr>
          </w:p>
        </w:tc>
      </w:tr>
      <w:tr w:rsidR="002B4C2F" w:rsidRPr="002B4C2F" w14:paraId="736D24CC" w14:textId="77777777" w:rsidTr="000E34A2">
        <w:tc>
          <w:tcPr>
            <w:tcW w:w="2613" w:type="dxa"/>
            <w:vMerge/>
          </w:tcPr>
          <w:p w14:paraId="479D2D12" w14:textId="77777777" w:rsidR="002B4C2F" w:rsidRPr="002B4C2F" w:rsidRDefault="002B4C2F" w:rsidP="002B4C2F">
            <w:pPr>
              <w:rPr>
                <w:rFonts w:cs="Arial"/>
                <w:b/>
              </w:rPr>
            </w:pPr>
          </w:p>
        </w:tc>
        <w:tc>
          <w:tcPr>
            <w:tcW w:w="2470" w:type="dxa"/>
            <w:vMerge/>
          </w:tcPr>
          <w:p w14:paraId="73D6D604" w14:textId="77777777" w:rsidR="002B4C2F" w:rsidRPr="002B4C2F" w:rsidRDefault="002B4C2F" w:rsidP="002B4C2F">
            <w:pPr>
              <w:rPr>
                <w:rFonts w:cs="Arial"/>
              </w:rPr>
            </w:pPr>
          </w:p>
        </w:tc>
        <w:tc>
          <w:tcPr>
            <w:tcW w:w="5940" w:type="dxa"/>
          </w:tcPr>
          <w:p w14:paraId="13DD466D" w14:textId="77777777" w:rsidR="002B4C2F" w:rsidRPr="002B4C2F" w:rsidRDefault="002B4C2F" w:rsidP="002B4C2F">
            <w:pPr>
              <w:rPr>
                <w:rFonts w:cs="Arial"/>
              </w:rPr>
            </w:pPr>
            <w:r w:rsidRPr="002B4C2F">
              <w:rPr>
                <w:rFonts w:cs="Arial"/>
              </w:rPr>
              <w:t>Water bodies impounded by reservoirs or located in basins impounded by one or more reservoirs.</w:t>
            </w:r>
          </w:p>
        </w:tc>
        <w:tc>
          <w:tcPr>
            <w:tcW w:w="2297" w:type="dxa"/>
          </w:tcPr>
          <w:p w14:paraId="2AE37786" w14:textId="77777777" w:rsidR="002B4C2F" w:rsidRPr="002B4C2F" w:rsidRDefault="002B4C2F" w:rsidP="002B4C2F">
            <w:pPr>
              <w:rPr>
                <w:rFonts w:cs="Arial"/>
                <w:b/>
              </w:rPr>
            </w:pPr>
          </w:p>
        </w:tc>
      </w:tr>
      <w:tr w:rsidR="002B4C2F" w:rsidRPr="002B4C2F" w14:paraId="1376A9FA" w14:textId="77777777" w:rsidTr="000E34A2">
        <w:tc>
          <w:tcPr>
            <w:tcW w:w="2613" w:type="dxa"/>
            <w:vMerge/>
          </w:tcPr>
          <w:p w14:paraId="3D298D23" w14:textId="77777777" w:rsidR="002B4C2F" w:rsidRPr="002B4C2F" w:rsidRDefault="002B4C2F" w:rsidP="002B4C2F">
            <w:pPr>
              <w:rPr>
                <w:rFonts w:cs="Arial"/>
                <w:b/>
              </w:rPr>
            </w:pPr>
          </w:p>
        </w:tc>
        <w:tc>
          <w:tcPr>
            <w:tcW w:w="2470" w:type="dxa"/>
            <w:vMerge/>
          </w:tcPr>
          <w:p w14:paraId="7E184842" w14:textId="77777777" w:rsidR="002B4C2F" w:rsidRPr="002B4C2F" w:rsidRDefault="002B4C2F" w:rsidP="002B4C2F">
            <w:pPr>
              <w:rPr>
                <w:rFonts w:cs="Arial"/>
              </w:rPr>
            </w:pPr>
          </w:p>
        </w:tc>
        <w:tc>
          <w:tcPr>
            <w:tcW w:w="5940" w:type="dxa"/>
          </w:tcPr>
          <w:p w14:paraId="0499164C" w14:textId="77777777" w:rsidR="002B4C2F" w:rsidRPr="002B4C2F" w:rsidRDefault="002B4C2F" w:rsidP="002B4C2F">
            <w:pPr>
              <w:rPr>
                <w:rFonts w:cs="Arial"/>
              </w:rPr>
            </w:pPr>
            <w:r w:rsidRPr="002B4C2F">
              <w:rPr>
                <w:rFonts w:cs="Arial"/>
              </w:rPr>
              <w:t>Area of springs or water sources</w:t>
            </w:r>
          </w:p>
        </w:tc>
        <w:tc>
          <w:tcPr>
            <w:tcW w:w="2297" w:type="dxa"/>
          </w:tcPr>
          <w:p w14:paraId="7FF92112" w14:textId="77777777" w:rsidR="002B4C2F" w:rsidRPr="002B4C2F" w:rsidRDefault="002B4C2F" w:rsidP="002B4C2F">
            <w:pPr>
              <w:rPr>
                <w:rFonts w:cs="Arial"/>
                <w:b/>
              </w:rPr>
            </w:pPr>
          </w:p>
        </w:tc>
      </w:tr>
      <w:tr w:rsidR="002B4C2F" w:rsidRPr="002B4C2F" w14:paraId="02EFBED9" w14:textId="77777777" w:rsidTr="000E34A2">
        <w:tc>
          <w:tcPr>
            <w:tcW w:w="2613" w:type="dxa"/>
            <w:vMerge/>
            <w:vAlign w:val="center"/>
          </w:tcPr>
          <w:p w14:paraId="4A6387CE" w14:textId="77777777" w:rsidR="002B4C2F" w:rsidRPr="002B4C2F" w:rsidRDefault="002B4C2F" w:rsidP="002B4C2F">
            <w:pPr>
              <w:rPr>
                <w:rFonts w:cs="Arial"/>
                <w:b/>
              </w:rPr>
            </w:pPr>
          </w:p>
        </w:tc>
        <w:tc>
          <w:tcPr>
            <w:tcW w:w="2470" w:type="dxa"/>
            <w:vMerge/>
          </w:tcPr>
          <w:p w14:paraId="675DB536" w14:textId="77777777" w:rsidR="002B4C2F" w:rsidRPr="002B4C2F" w:rsidRDefault="002B4C2F" w:rsidP="002B4C2F">
            <w:pPr>
              <w:rPr>
                <w:rFonts w:cs="Arial"/>
                <w:b/>
              </w:rPr>
            </w:pPr>
          </w:p>
        </w:tc>
        <w:tc>
          <w:tcPr>
            <w:tcW w:w="5940" w:type="dxa"/>
          </w:tcPr>
          <w:p w14:paraId="10FDCE7C" w14:textId="77777777" w:rsidR="002B4C2F" w:rsidRPr="002B4C2F" w:rsidRDefault="002B4C2F" w:rsidP="002B4C2F">
            <w:pPr>
              <w:rPr>
                <w:rFonts w:cs="Arial"/>
              </w:rPr>
            </w:pPr>
            <w:r w:rsidRPr="002B4C2F">
              <w:rPr>
                <w:rFonts w:cs="Arial"/>
              </w:rPr>
              <w:t>Areas with a moderate likelihood of natural resource use conflicts or temporary restrictions on resource availability.</w:t>
            </w:r>
          </w:p>
        </w:tc>
        <w:tc>
          <w:tcPr>
            <w:tcW w:w="2297" w:type="dxa"/>
          </w:tcPr>
          <w:p w14:paraId="73E713CE" w14:textId="77777777" w:rsidR="002B4C2F" w:rsidRPr="002B4C2F" w:rsidRDefault="002B4C2F" w:rsidP="002B4C2F">
            <w:pPr>
              <w:rPr>
                <w:rFonts w:cs="Arial"/>
                <w:b/>
              </w:rPr>
            </w:pPr>
          </w:p>
        </w:tc>
      </w:tr>
      <w:tr w:rsidR="002B4C2F" w:rsidRPr="002B4C2F" w14:paraId="6E4A610B" w14:textId="77777777" w:rsidTr="000E34A2">
        <w:tc>
          <w:tcPr>
            <w:tcW w:w="2613" w:type="dxa"/>
            <w:vMerge/>
          </w:tcPr>
          <w:p w14:paraId="42794BCC" w14:textId="77777777" w:rsidR="002B4C2F" w:rsidRPr="002B4C2F" w:rsidRDefault="002B4C2F" w:rsidP="002B4C2F">
            <w:pPr>
              <w:rPr>
                <w:rFonts w:cs="Arial"/>
                <w:b/>
              </w:rPr>
            </w:pPr>
          </w:p>
        </w:tc>
        <w:tc>
          <w:tcPr>
            <w:tcW w:w="2470" w:type="dxa"/>
            <w:vMerge/>
          </w:tcPr>
          <w:p w14:paraId="425D9718" w14:textId="77777777" w:rsidR="002B4C2F" w:rsidRPr="002B4C2F" w:rsidRDefault="002B4C2F" w:rsidP="002B4C2F">
            <w:pPr>
              <w:rPr>
                <w:rFonts w:cs="Arial"/>
                <w:b/>
              </w:rPr>
            </w:pPr>
          </w:p>
        </w:tc>
        <w:tc>
          <w:tcPr>
            <w:tcW w:w="5940" w:type="dxa"/>
          </w:tcPr>
          <w:p w14:paraId="1B7A573A" w14:textId="77777777" w:rsidR="002B4C2F" w:rsidRPr="002B4C2F" w:rsidRDefault="002B4C2F" w:rsidP="002B4C2F">
            <w:pPr>
              <w:rPr>
                <w:rFonts w:cs="Arial"/>
              </w:rPr>
            </w:pPr>
            <w:r w:rsidRPr="002B4C2F">
              <w:rPr>
                <w:rFonts w:cs="Arial"/>
              </w:rPr>
              <w:t>Areas with high availability of natural resource use conflicts or temporary resource availability restrictions.</w:t>
            </w:r>
          </w:p>
        </w:tc>
        <w:tc>
          <w:tcPr>
            <w:tcW w:w="2297" w:type="dxa"/>
          </w:tcPr>
          <w:p w14:paraId="3F7107F0" w14:textId="77777777" w:rsidR="002B4C2F" w:rsidRPr="002B4C2F" w:rsidRDefault="002B4C2F" w:rsidP="002B4C2F">
            <w:pPr>
              <w:rPr>
                <w:rFonts w:cs="Arial"/>
                <w:b/>
              </w:rPr>
            </w:pPr>
          </w:p>
        </w:tc>
      </w:tr>
      <w:tr w:rsidR="002B4C2F" w:rsidRPr="002B4C2F" w14:paraId="5D9A1E6B" w14:textId="77777777" w:rsidTr="000E34A2">
        <w:trPr>
          <w:trHeight w:val="260"/>
        </w:trPr>
        <w:tc>
          <w:tcPr>
            <w:tcW w:w="2613" w:type="dxa"/>
            <w:vMerge w:val="restart"/>
            <w:vAlign w:val="center"/>
          </w:tcPr>
          <w:p w14:paraId="3679E18D" w14:textId="77777777" w:rsidR="002B4C2F" w:rsidRPr="002B4C2F" w:rsidRDefault="002B4C2F" w:rsidP="002B4C2F">
            <w:pPr>
              <w:rPr>
                <w:rFonts w:cs="Arial"/>
              </w:rPr>
            </w:pPr>
            <w:r w:rsidRPr="002B4C2F">
              <w:rPr>
                <w:rFonts w:cs="Arial"/>
              </w:rPr>
              <w:t>Social economic and cultural.</w:t>
            </w:r>
          </w:p>
        </w:tc>
        <w:tc>
          <w:tcPr>
            <w:tcW w:w="2470" w:type="dxa"/>
            <w:vMerge w:val="restart"/>
            <w:vAlign w:val="center"/>
          </w:tcPr>
          <w:p w14:paraId="7CCEB01E" w14:textId="77777777" w:rsidR="002B4C2F" w:rsidRPr="002B4C2F" w:rsidRDefault="002B4C2F" w:rsidP="002B4C2F">
            <w:pPr>
              <w:rPr>
                <w:rFonts w:cs="Arial"/>
              </w:rPr>
            </w:pPr>
            <w:r w:rsidRPr="002B4C2F">
              <w:rPr>
                <w:rFonts w:cs="Arial"/>
              </w:rPr>
              <w:t>Indigenous peoples and communities</w:t>
            </w:r>
          </w:p>
        </w:tc>
        <w:tc>
          <w:tcPr>
            <w:tcW w:w="5940" w:type="dxa"/>
          </w:tcPr>
          <w:p w14:paraId="20475D32" w14:textId="77777777" w:rsidR="002B4C2F" w:rsidRPr="002B4C2F" w:rsidRDefault="002B4C2F" w:rsidP="002B4C2F">
            <w:pPr>
              <w:rPr>
                <w:rFonts w:cs="Arial"/>
              </w:rPr>
            </w:pPr>
            <w:r w:rsidRPr="002B4C2F">
              <w:rPr>
                <w:rFonts w:cs="Arial"/>
              </w:rPr>
              <w:t>Area of influence includes areas where communities/ethnic groups live together.</w:t>
            </w:r>
          </w:p>
        </w:tc>
        <w:tc>
          <w:tcPr>
            <w:tcW w:w="2297" w:type="dxa"/>
          </w:tcPr>
          <w:p w14:paraId="6CCF0906" w14:textId="77777777" w:rsidR="002B4C2F" w:rsidRPr="002B4C2F" w:rsidRDefault="002B4C2F" w:rsidP="002B4C2F">
            <w:pPr>
              <w:rPr>
                <w:rFonts w:cs="Arial"/>
              </w:rPr>
            </w:pPr>
          </w:p>
        </w:tc>
      </w:tr>
      <w:tr w:rsidR="002B4C2F" w:rsidRPr="002B4C2F" w14:paraId="18416270" w14:textId="77777777" w:rsidTr="000E34A2">
        <w:tc>
          <w:tcPr>
            <w:tcW w:w="2613" w:type="dxa"/>
            <w:vMerge/>
          </w:tcPr>
          <w:p w14:paraId="7C8DD6CB" w14:textId="77777777" w:rsidR="002B4C2F" w:rsidRPr="002B4C2F" w:rsidRDefault="002B4C2F" w:rsidP="002B4C2F">
            <w:pPr>
              <w:rPr>
                <w:rFonts w:cs="Arial"/>
              </w:rPr>
            </w:pPr>
          </w:p>
        </w:tc>
        <w:tc>
          <w:tcPr>
            <w:tcW w:w="2470" w:type="dxa"/>
            <w:vMerge/>
          </w:tcPr>
          <w:p w14:paraId="68762779" w14:textId="77777777" w:rsidR="002B4C2F" w:rsidRPr="002B4C2F" w:rsidRDefault="002B4C2F" w:rsidP="002B4C2F">
            <w:pPr>
              <w:rPr>
                <w:rFonts w:cs="Arial"/>
              </w:rPr>
            </w:pPr>
          </w:p>
        </w:tc>
        <w:tc>
          <w:tcPr>
            <w:tcW w:w="5940" w:type="dxa"/>
          </w:tcPr>
          <w:p w14:paraId="17D5455F" w14:textId="77777777" w:rsidR="002B4C2F" w:rsidRPr="002B4C2F" w:rsidRDefault="002B4C2F" w:rsidP="002B4C2F">
            <w:pPr>
              <w:rPr>
                <w:rFonts w:cs="Arial"/>
              </w:rPr>
            </w:pPr>
            <w:r w:rsidRPr="002B4C2F">
              <w:rPr>
                <w:rFonts w:cs="Arial"/>
              </w:rPr>
              <w:t>Possible (or already ongoing) conflicts due to proximity and overlap of indigenous territories with other areas or projects.</w:t>
            </w:r>
          </w:p>
        </w:tc>
        <w:tc>
          <w:tcPr>
            <w:tcW w:w="2297" w:type="dxa"/>
          </w:tcPr>
          <w:p w14:paraId="6BD2FD04" w14:textId="77777777" w:rsidR="002B4C2F" w:rsidRPr="002B4C2F" w:rsidRDefault="002B4C2F" w:rsidP="002B4C2F">
            <w:pPr>
              <w:rPr>
                <w:rFonts w:cs="Arial"/>
              </w:rPr>
            </w:pPr>
          </w:p>
        </w:tc>
      </w:tr>
      <w:tr w:rsidR="002B4C2F" w:rsidRPr="002B4C2F" w14:paraId="4F01C049" w14:textId="77777777" w:rsidTr="000E34A2">
        <w:tc>
          <w:tcPr>
            <w:tcW w:w="2613" w:type="dxa"/>
            <w:vMerge/>
          </w:tcPr>
          <w:p w14:paraId="1F6A3064" w14:textId="77777777" w:rsidR="002B4C2F" w:rsidRPr="002B4C2F" w:rsidRDefault="002B4C2F" w:rsidP="002B4C2F">
            <w:pPr>
              <w:rPr>
                <w:rFonts w:cs="Arial"/>
              </w:rPr>
            </w:pPr>
          </w:p>
        </w:tc>
        <w:tc>
          <w:tcPr>
            <w:tcW w:w="2470" w:type="dxa"/>
            <w:vMerge/>
          </w:tcPr>
          <w:p w14:paraId="47CF2DAA" w14:textId="77777777" w:rsidR="002B4C2F" w:rsidRPr="002B4C2F" w:rsidRDefault="002B4C2F" w:rsidP="002B4C2F">
            <w:pPr>
              <w:rPr>
                <w:rFonts w:cs="Arial"/>
              </w:rPr>
            </w:pPr>
          </w:p>
        </w:tc>
        <w:tc>
          <w:tcPr>
            <w:tcW w:w="5940" w:type="dxa"/>
          </w:tcPr>
          <w:p w14:paraId="7217BB94" w14:textId="77777777" w:rsidR="002B4C2F" w:rsidRPr="002B4C2F" w:rsidRDefault="002B4C2F" w:rsidP="002B4C2F">
            <w:pPr>
              <w:rPr>
                <w:rFonts w:cs="Arial"/>
              </w:rPr>
            </w:pPr>
            <w:r w:rsidRPr="002B4C2F">
              <w:rPr>
                <w:rFonts w:cs="Arial"/>
              </w:rPr>
              <w:t>Ethnic communities outside the area of influence but close/adjacent to it.</w:t>
            </w:r>
          </w:p>
        </w:tc>
        <w:tc>
          <w:tcPr>
            <w:tcW w:w="2297" w:type="dxa"/>
          </w:tcPr>
          <w:p w14:paraId="13842164" w14:textId="77777777" w:rsidR="002B4C2F" w:rsidRPr="002B4C2F" w:rsidRDefault="002B4C2F" w:rsidP="002B4C2F">
            <w:pPr>
              <w:rPr>
                <w:rFonts w:cs="Arial"/>
              </w:rPr>
            </w:pPr>
          </w:p>
        </w:tc>
      </w:tr>
      <w:tr w:rsidR="002B4C2F" w:rsidRPr="002B4C2F" w14:paraId="06B02B65" w14:textId="77777777" w:rsidTr="000E34A2">
        <w:tc>
          <w:tcPr>
            <w:tcW w:w="2613" w:type="dxa"/>
            <w:vMerge/>
          </w:tcPr>
          <w:p w14:paraId="113A8AE3" w14:textId="77777777" w:rsidR="002B4C2F" w:rsidRPr="002B4C2F" w:rsidRDefault="002B4C2F" w:rsidP="002B4C2F">
            <w:pPr>
              <w:rPr>
                <w:rFonts w:cs="Arial"/>
              </w:rPr>
            </w:pPr>
          </w:p>
        </w:tc>
        <w:tc>
          <w:tcPr>
            <w:tcW w:w="2470" w:type="dxa"/>
            <w:vMerge/>
          </w:tcPr>
          <w:p w14:paraId="0DEEDC31" w14:textId="77777777" w:rsidR="002B4C2F" w:rsidRPr="002B4C2F" w:rsidRDefault="002B4C2F" w:rsidP="002B4C2F">
            <w:pPr>
              <w:rPr>
                <w:rFonts w:cs="Arial"/>
              </w:rPr>
            </w:pPr>
          </w:p>
        </w:tc>
        <w:tc>
          <w:tcPr>
            <w:tcW w:w="5940" w:type="dxa"/>
          </w:tcPr>
          <w:p w14:paraId="1F820058" w14:textId="77777777" w:rsidR="002B4C2F" w:rsidRPr="002B4C2F" w:rsidRDefault="002B4C2F" w:rsidP="002B4C2F">
            <w:pPr>
              <w:rPr>
                <w:rFonts w:cs="Arial"/>
              </w:rPr>
            </w:pPr>
            <w:r w:rsidRPr="002B4C2F">
              <w:rPr>
                <w:rFonts w:cs="Arial"/>
              </w:rPr>
              <w:t xml:space="preserve">Ethnic communities outside the area of influence but close/adjacent to the area of influence with a history of low levels of conflict. </w:t>
            </w:r>
          </w:p>
        </w:tc>
        <w:tc>
          <w:tcPr>
            <w:tcW w:w="2297" w:type="dxa"/>
          </w:tcPr>
          <w:p w14:paraId="595400D1" w14:textId="77777777" w:rsidR="002B4C2F" w:rsidRPr="002B4C2F" w:rsidRDefault="002B4C2F" w:rsidP="002B4C2F">
            <w:pPr>
              <w:rPr>
                <w:rFonts w:cs="Arial"/>
              </w:rPr>
            </w:pPr>
          </w:p>
        </w:tc>
      </w:tr>
      <w:tr w:rsidR="002B4C2F" w:rsidRPr="002B4C2F" w14:paraId="07D3FACD" w14:textId="77777777" w:rsidTr="000E34A2">
        <w:tc>
          <w:tcPr>
            <w:tcW w:w="2613" w:type="dxa"/>
            <w:vMerge/>
          </w:tcPr>
          <w:p w14:paraId="2F7D7086" w14:textId="77777777" w:rsidR="002B4C2F" w:rsidRPr="002B4C2F" w:rsidRDefault="002B4C2F" w:rsidP="002B4C2F">
            <w:pPr>
              <w:rPr>
                <w:rFonts w:cs="Arial"/>
              </w:rPr>
            </w:pPr>
          </w:p>
        </w:tc>
        <w:tc>
          <w:tcPr>
            <w:tcW w:w="2470" w:type="dxa"/>
            <w:vMerge w:val="restart"/>
            <w:vAlign w:val="center"/>
          </w:tcPr>
          <w:p w14:paraId="7A528C4F" w14:textId="77777777" w:rsidR="002B4C2F" w:rsidRPr="002B4C2F" w:rsidRDefault="002B4C2F" w:rsidP="002B4C2F">
            <w:pPr>
              <w:rPr>
                <w:rFonts w:cs="Arial"/>
              </w:rPr>
            </w:pPr>
            <w:r w:rsidRPr="002B4C2F">
              <w:rPr>
                <w:rFonts w:cs="Arial"/>
              </w:rPr>
              <w:t>Areas of socio-cultural importance</w:t>
            </w:r>
          </w:p>
        </w:tc>
        <w:tc>
          <w:tcPr>
            <w:tcW w:w="5940" w:type="dxa"/>
          </w:tcPr>
          <w:p w14:paraId="4BDDA56A" w14:textId="77777777" w:rsidR="002B4C2F" w:rsidRPr="002B4C2F" w:rsidRDefault="002B4C2F" w:rsidP="002B4C2F">
            <w:pPr>
              <w:rPr>
                <w:rFonts w:cs="Arial"/>
              </w:rPr>
            </w:pPr>
            <w:r w:rsidRPr="002B4C2F">
              <w:rPr>
                <w:rFonts w:cs="Arial"/>
              </w:rPr>
              <w:t>Areas of influence include areas where communities/ethnic groups live together.</w:t>
            </w:r>
          </w:p>
        </w:tc>
        <w:tc>
          <w:tcPr>
            <w:tcW w:w="2297" w:type="dxa"/>
          </w:tcPr>
          <w:p w14:paraId="111FB0F2" w14:textId="77777777" w:rsidR="002B4C2F" w:rsidRPr="002B4C2F" w:rsidRDefault="002B4C2F" w:rsidP="002B4C2F">
            <w:pPr>
              <w:rPr>
                <w:rFonts w:cs="Arial"/>
              </w:rPr>
            </w:pPr>
          </w:p>
        </w:tc>
      </w:tr>
      <w:tr w:rsidR="002B4C2F" w:rsidRPr="002B4C2F" w14:paraId="23E44D5A" w14:textId="77777777" w:rsidTr="000E34A2">
        <w:tc>
          <w:tcPr>
            <w:tcW w:w="2613" w:type="dxa"/>
            <w:vMerge/>
          </w:tcPr>
          <w:p w14:paraId="6A493781" w14:textId="77777777" w:rsidR="002B4C2F" w:rsidRPr="002B4C2F" w:rsidRDefault="002B4C2F" w:rsidP="002B4C2F">
            <w:pPr>
              <w:rPr>
                <w:rFonts w:cs="Arial"/>
              </w:rPr>
            </w:pPr>
          </w:p>
        </w:tc>
        <w:tc>
          <w:tcPr>
            <w:tcW w:w="2470" w:type="dxa"/>
            <w:vMerge/>
          </w:tcPr>
          <w:p w14:paraId="15E33013" w14:textId="77777777" w:rsidR="002B4C2F" w:rsidRPr="002B4C2F" w:rsidRDefault="002B4C2F" w:rsidP="002B4C2F">
            <w:pPr>
              <w:rPr>
                <w:rFonts w:cs="Arial"/>
              </w:rPr>
            </w:pPr>
          </w:p>
        </w:tc>
        <w:tc>
          <w:tcPr>
            <w:tcW w:w="5940" w:type="dxa"/>
          </w:tcPr>
          <w:p w14:paraId="47B80512" w14:textId="77777777" w:rsidR="002B4C2F" w:rsidRPr="002B4C2F" w:rsidRDefault="002B4C2F" w:rsidP="002B4C2F">
            <w:pPr>
              <w:rPr>
                <w:rFonts w:cs="Arial"/>
              </w:rPr>
            </w:pPr>
            <w:r w:rsidRPr="002B4C2F">
              <w:rPr>
                <w:rFonts w:cs="Arial"/>
              </w:rPr>
              <w:t xml:space="preserve">Paleontological, archaeological, </w:t>
            </w:r>
            <w:proofErr w:type="gramStart"/>
            <w:r w:rsidRPr="002B4C2F">
              <w:rPr>
                <w:rFonts w:cs="Arial"/>
              </w:rPr>
              <w:t>historical</w:t>
            </w:r>
            <w:proofErr w:type="gramEnd"/>
            <w:r w:rsidRPr="002B4C2F">
              <w:rPr>
                <w:rFonts w:cs="Arial"/>
              </w:rPr>
              <w:t xml:space="preserve"> and anthropological sites of interest</w:t>
            </w:r>
          </w:p>
        </w:tc>
        <w:tc>
          <w:tcPr>
            <w:tcW w:w="2297" w:type="dxa"/>
          </w:tcPr>
          <w:p w14:paraId="79A757E8" w14:textId="77777777" w:rsidR="002B4C2F" w:rsidRPr="002B4C2F" w:rsidRDefault="002B4C2F" w:rsidP="002B4C2F">
            <w:pPr>
              <w:rPr>
                <w:rFonts w:cs="Arial"/>
              </w:rPr>
            </w:pPr>
          </w:p>
        </w:tc>
      </w:tr>
      <w:tr w:rsidR="002B4C2F" w:rsidRPr="002B4C2F" w14:paraId="462502D0" w14:textId="77777777" w:rsidTr="000E34A2">
        <w:tc>
          <w:tcPr>
            <w:tcW w:w="2613" w:type="dxa"/>
            <w:vMerge/>
          </w:tcPr>
          <w:p w14:paraId="08784918" w14:textId="77777777" w:rsidR="002B4C2F" w:rsidRPr="002B4C2F" w:rsidRDefault="002B4C2F" w:rsidP="002B4C2F">
            <w:pPr>
              <w:rPr>
                <w:rFonts w:cs="Arial"/>
              </w:rPr>
            </w:pPr>
          </w:p>
        </w:tc>
        <w:tc>
          <w:tcPr>
            <w:tcW w:w="2470" w:type="dxa"/>
            <w:vMerge/>
          </w:tcPr>
          <w:p w14:paraId="0998D791" w14:textId="77777777" w:rsidR="002B4C2F" w:rsidRPr="002B4C2F" w:rsidRDefault="002B4C2F" w:rsidP="002B4C2F">
            <w:pPr>
              <w:rPr>
                <w:rFonts w:cs="Arial"/>
              </w:rPr>
            </w:pPr>
          </w:p>
        </w:tc>
        <w:tc>
          <w:tcPr>
            <w:tcW w:w="5940" w:type="dxa"/>
          </w:tcPr>
          <w:p w14:paraId="479291D8" w14:textId="77777777" w:rsidR="002B4C2F" w:rsidRPr="002B4C2F" w:rsidRDefault="002B4C2F" w:rsidP="002B4C2F">
            <w:pPr>
              <w:rPr>
                <w:rFonts w:cs="Arial"/>
              </w:rPr>
            </w:pPr>
            <w:r w:rsidRPr="002B4C2F">
              <w:rPr>
                <w:rFonts w:cs="Arial"/>
              </w:rPr>
              <w:t>Sites of Tourist Importance</w:t>
            </w:r>
          </w:p>
        </w:tc>
        <w:tc>
          <w:tcPr>
            <w:tcW w:w="2297" w:type="dxa"/>
          </w:tcPr>
          <w:p w14:paraId="5CF1DFD6" w14:textId="77777777" w:rsidR="002B4C2F" w:rsidRPr="002B4C2F" w:rsidRDefault="002B4C2F" w:rsidP="002B4C2F">
            <w:pPr>
              <w:rPr>
                <w:rFonts w:cs="Arial"/>
              </w:rPr>
            </w:pPr>
          </w:p>
        </w:tc>
      </w:tr>
      <w:tr w:rsidR="002B4C2F" w:rsidRPr="002B4C2F" w14:paraId="46E2D1AF" w14:textId="77777777" w:rsidTr="000E34A2">
        <w:tc>
          <w:tcPr>
            <w:tcW w:w="2613" w:type="dxa"/>
            <w:vMerge/>
          </w:tcPr>
          <w:p w14:paraId="14E9B8E3" w14:textId="77777777" w:rsidR="002B4C2F" w:rsidRPr="002B4C2F" w:rsidRDefault="002B4C2F" w:rsidP="002B4C2F">
            <w:pPr>
              <w:rPr>
                <w:rFonts w:cs="Arial"/>
              </w:rPr>
            </w:pPr>
          </w:p>
        </w:tc>
        <w:tc>
          <w:tcPr>
            <w:tcW w:w="2470" w:type="dxa"/>
            <w:vMerge/>
          </w:tcPr>
          <w:p w14:paraId="65668F57" w14:textId="77777777" w:rsidR="002B4C2F" w:rsidRPr="002B4C2F" w:rsidRDefault="002B4C2F" w:rsidP="002B4C2F">
            <w:pPr>
              <w:rPr>
                <w:rFonts w:cs="Arial"/>
              </w:rPr>
            </w:pPr>
          </w:p>
        </w:tc>
        <w:tc>
          <w:tcPr>
            <w:tcW w:w="5940" w:type="dxa"/>
          </w:tcPr>
          <w:p w14:paraId="2A95E342" w14:textId="77777777" w:rsidR="002B4C2F" w:rsidRPr="002B4C2F" w:rsidRDefault="002B4C2F" w:rsidP="002B4C2F">
            <w:pPr>
              <w:rPr>
                <w:rFonts w:cs="Arial"/>
              </w:rPr>
            </w:pPr>
            <w:r w:rsidRPr="002B4C2F">
              <w:rPr>
                <w:rFonts w:cs="Arial"/>
              </w:rPr>
              <w:t>Areas of importance to ethnic communities</w:t>
            </w:r>
          </w:p>
        </w:tc>
        <w:tc>
          <w:tcPr>
            <w:tcW w:w="2297" w:type="dxa"/>
          </w:tcPr>
          <w:p w14:paraId="533C2EF8" w14:textId="77777777" w:rsidR="002B4C2F" w:rsidRPr="002B4C2F" w:rsidRDefault="002B4C2F" w:rsidP="002B4C2F">
            <w:pPr>
              <w:rPr>
                <w:rFonts w:cs="Arial"/>
              </w:rPr>
            </w:pPr>
          </w:p>
        </w:tc>
      </w:tr>
      <w:tr w:rsidR="002B4C2F" w:rsidRPr="002B4C2F" w14:paraId="33E0749C" w14:textId="77777777" w:rsidTr="000E34A2">
        <w:tc>
          <w:tcPr>
            <w:tcW w:w="2613" w:type="dxa"/>
            <w:vMerge/>
          </w:tcPr>
          <w:p w14:paraId="06930E81" w14:textId="77777777" w:rsidR="002B4C2F" w:rsidRPr="002B4C2F" w:rsidRDefault="002B4C2F" w:rsidP="002B4C2F">
            <w:pPr>
              <w:rPr>
                <w:rFonts w:cs="Arial"/>
              </w:rPr>
            </w:pPr>
          </w:p>
        </w:tc>
        <w:tc>
          <w:tcPr>
            <w:tcW w:w="2470" w:type="dxa"/>
            <w:vMerge w:val="restart"/>
            <w:vAlign w:val="center"/>
          </w:tcPr>
          <w:p w14:paraId="52A01BDE" w14:textId="77777777" w:rsidR="002B4C2F" w:rsidRPr="002B4C2F" w:rsidRDefault="002B4C2F" w:rsidP="002B4C2F">
            <w:pPr>
              <w:rPr>
                <w:rFonts w:cs="Arial"/>
              </w:rPr>
            </w:pPr>
            <w:r w:rsidRPr="002B4C2F">
              <w:rPr>
                <w:rFonts w:cs="Arial"/>
              </w:rPr>
              <w:t>Aspects of social - cultural interest</w:t>
            </w:r>
          </w:p>
        </w:tc>
        <w:tc>
          <w:tcPr>
            <w:tcW w:w="5940" w:type="dxa"/>
          </w:tcPr>
          <w:p w14:paraId="6359E58B" w14:textId="77777777" w:rsidR="002B4C2F" w:rsidRPr="002B4C2F" w:rsidRDefault="002B4C2F" w:rsidP="002B4C2F">
            <w:pPr>
              <w:rPr>
                <w:rFonts w:cs="Arial"/>
              </w:rPr>
            </w:pPr>
            <w:r w:rsidRPr="002B4C2F">
              <w:rPr>
                <w:rFonts w:cs="Arial"/>
              </w:rPr>
              <w:t>Areas with social conflicts, armed conflicts or security conflicts (</w:t>
            </w:r>
            <w:proofErr w:type="gramStart"/>
            <w:r w:rsidRPr="002B4C2F">
              <w:rPr>
                <w:rFonts w:cs="Arial"/>
              </w:rPr>
              <w:t>e.g.</w:t>
            </w:r>
            <w:proofErr w:type="gramEnd"/>
            <w:r w:rsidRPr="002B4C2F">
              <w:rPr>
                <w:rFonts w:cs="Arial"/>
              </w:rPr>
              <w:t xml:space="preserve"> conflicts with authorities)</w:t>
            </w:r>
          </w:p>
        </w:tc>
        <w:tc>
          <w:tcPr>
            <w:tcW w:w="2297" w:type="dxa"/>
          </w:tcPr>
          <w:p w14:paraId="0AC7F3CB" w14:textId="77777777" w:rsidR="002B4C2F" w:rsidRPr="002B4C2F" w:rsidRDefault="002B4C2F" w:rsidP="002B4C2F">
            <w:pPr>
              <w:rPr>
                <w:rFonts w:cs="Arial"/>
              </w:rPr>
            </w:pPr>
          </w:p>
        </w:tc>
      </w:tr>
      <w:tr w:rsidR="002B4C2F" w:rsidRPr="002B4C2F" w14:paraId="6F9CA1CF" w14:textId="77777777" w:rsidTr="000E34A2">
        <w:tc>
          <w:tcPr>
            <w:tcW w:w="2613" w:type="dxa"/>
            <w:vMerge/>
          </w:tcPr>
          <w:p w14:paraId="44E6518C" w14:textId="77777777" w:rsidR="002B4C2F" w:rsidRPr="002B4C2F" w:rsidRDefault="002B4C2F" w:rsidP="002B4C2F">
            <w:pPr>
              <w:rPr>
                <w:rFonts w:cs="Arial"/>
              </w:rPr>
            </w:pPr>
          </w:p>
        </w:tc>
        <w:tc>
          <w:tcPr>
            <w:tcW w:w="2470" w:type="dxa"/>
            <w:vMerge/>
          </w:tcPr>
          <w:p w14:paraId="52D34FA2" w14:textId="77777777" w:rsidR="002B4C2F" w:rsidRPr="002B4C2F" w:rsidRDefault="002B4C2F" w:rsidP="002B4C2F">
            <w:pPr>
              <w:rPr>
                <w:rFonts w:cs="Arial"/>
              </w:rPr>
            </w:pPr>
          </w:p>
        </w:tc>
        <w:tc>
          <w:tcPr>
            <w:tcW w:w="5940" w:type="dxa"/>
          </w:tcPr>
          <w:p w14:paraId="0FA2E9A6" w14:textId="77777777" w:rsidR="002B4C2F" w:rsidRPr="002B4C2F" w:rsidRDefault="002B4C2F" w:rsidP="002B4C2F">
            <w:pPr>
              <w:rPr>
                <w:rFonts w:cs="Arial"/>
              </w:rPr>
            </w:pPr>
            <w:r w:rsidRPr="002B4C2F">
              <w:rPr>
                <w:rFonts w:cs="Arial"/>
              </w:rPr>
              <w:t xml:space="preserve">Areas in which civil society organized against certain projects, </w:t>
            </w:r>
            <w:proofErr w:type="gramStart"/>
            <w:r w:rsidRPr="002B4C2F">
              <w:rPr>
                <w:rFonts w:cs="Arial"/>
              </w:rPr>
              <w:t>companies</w:t>
            </w:r>
            <w:proofErr w:type="gramEnd"/>
            <w:r w:rsidRPr="002B4C2F">
              <w:rPr>
                <w:rFonts w:cs="Arial"/>
              </w:rPr>
              <w:t xml:space="preserve"> or activities, partially or totally paralyzing them.</w:t>
            </w:r>
          </w:p>
        </w:tc>
        <w:tc>
          <w:tcPr>
            <w:tcW w:w="2297" w:type="dxa"/>
          </w:tcPr>
          <w:p w14:paraId="77EA3914" w14:textId="77777777" w:rsidR="002B4C2F" w:rsidRPr="002B4C2F" w:rsidRDefault="002B4C2F" w:rsidP="002B4C2F">
            <w:pPr>
              <w:rPr>
                <w:rFonts w:cs="Arial"/>
              </w:rPr>
            </w:pPr>
          </w:p>
        </w:tc>
      </w:tr>
      <w:tr w:rsidR="002B4C2F" w:rsidRPr="002B4C2F" w14:paraId="0C9E136A" w14:textId="77777777" w:rsidTr="000E34A2">
        <w:tc>
          <w:tcPr>
            <w:tcW w:w="2613" w:type="dxa"/>
            <w:vMerge/>
          </w:tcPr>
          <w:p w14:paraId="66F8719E" w14:textId="77777777" w:rsidR="002B4C2F" w:rsidRPr="002B4C2F" w:rsidRDefault="002B4C2F" w:rsidP="002B4C2F">
            <w:pPr>
              <w:rPr>
                <w:rFonts w:cs="Arial"/>
              </w:rPr>
            </w:pPr>
          </w:p>
        </w:tc>
        <w:tc>
          <w:tcPr>
            <w:tcW w:w="2470" w:type="dxa"/>
            <w:vMerge/>
          </w:tcPr>
          <w:p w14:paraId="642B9822" w14:textId="77777777" w:rsidR="002B4C2F" w:rsidRPr="002B4C2F" w:rsidRDefault="002B4C2F" w:rsidP="002B4C2F">
            <w:pPr>
              <w:rPr>
                <w:rFonts w:cs="Arial"/>
              </w:rPr>
            </w:pPr>
          </w:p>
        </w:tc>
        <w:tc>
          <w:tcPr>
            <w:tcW w:w="5940" w:type="dxa"/>
          </w:tcPr>
          <w:p w14:paraId="7778331B" w14:textId="77777777" w:rsidR="002B4C2F" w:rsidRPr="002B4C2F" w:rsidRDefault="002B4C2F" w:rsidP="002B4C2F">
            <w:pPr>
              <w:rPr>
                <w:rFonts w:cs="Arial"/>
              </w:rPr>
            </w:pPr>
            <w:r w:rsidRPr="002B4C2F">
              <w:rPr>
                <w:rFonts w:cs="Arial"/>
              </w:rPr>
              <w:t xml:space="preserve"> Areas of endemic diseases or zoonotic origin (for example presence of dengue, malaria, leishmaniasis, tec or vulnerable to the entry of diseases.</w:t>
            </w:r>
          </w:p>
        </w:tc>
        <w:tc>
          <w:tcPr>
            <w:tcW w:w="2297" w:type="dxa"/>
          </w:tcPr>
          <w:p w14:paraId="594D7C15" w14:textId="77777777" w:rsidR="002B4C2F" w:rsidRPr="002B4C2F" w:rsidRDefault="002B4C2F" w:rsidP="002B4C2F">
            <w:pPr>
              <w:rPr>
                <w:rFonts w:cs="Arial"/>
              </w:rPr>
            </w:pPr>
          </w:p>
        </w:tc>
      </w:tr>
      <w:tr w:rsidR="002B4C2F" w:rsidRPr="002B4C2F" w14:paraId="5A0626FF" w14:textId="77777777" w:rsidTr="000E34A2">
        <w:tc>
          <w:tcPr>
            <w:tcW w:w="2613" w:type="dxa"/>
            <w:vMerge/>
          </w:tcPr>
          <w:p w14:paraId="275B7E8F" w14:textId="77777777" w:rsidR="002B4C2F" w:rsidRPr="002B4C2F" w:rsidRDefault="002B4C2F" w:rsidP="002B4C2F">
            <w:pPr>
              <w:rPr>
                <w:rFonts w:cs="Arial"/>
              </w:rPr>
            </w:pPr>
          </w:p>
        </w:tc>
        <w:tc>
          <w:tcPr>
            <w:tcW w:w="2470" w:type="dxa"/>
            <w:vMerge/>
          </w:tcPr>
          <w:p w14:paraId="7C12FE80" w14:textId="77777777" w:rsidR="002B4C2F" w:rsidRPr="002B4C2F" w:rsidRDefault="002B4C2F" w:rsidP="002B4C2F">
            <w:pPr>
              <w:rPr>
                <w:rFonts w:cs="Arial"/>
              </w:rPr>
            </w:pPr>
          </w:p>
        </w:tc>
        <w:tc>
          <w:tcPr>
            <w:tcW w:w="5940" w:type="dxa"/>
          </w:tcPr>
          <w:p w14:paraId="7FBA6A6F" w14:textId="77777777" w:rsidR="002B4C2F" w:rsidRPr="002B4C2F" w:rsidRDefault="002B4C2F" w:rsidP="002B4C2F">
            <w:pPr>
              <w:rPr>
                <w:rFonts w:cs="Arial"/>
              </w:rPr>
            </w:pPr>
            <w:r w:rsidRPr="002B4C2F">
              <w:rPr>
                <w:rFonts w:cs="Arial"/>
              </w:rPr>
              <w:t>Areas with potential social/political conflicts.</w:t>
            </w:r>
          </w:p>
        </w:tc>
        <w:tc>
          <w:tcPr>
            <w:tcW w:w="2297" w:type="dxa"/>
          </w:tcPr>
          <w:p w14:paraId="2D9220EE" w14:textId="77777777" w:rsidR="002B4C2F" w:rsidRPr="002B4C2F" w:rsidRDefault="002B4C2F" w:rsidP="002B4C2F">
            <w:pPr>
              <w:rPr>
                <w:rFonts w:cs="Arial"/>
              </w:rPr>
            </w:pPr>
          </w:p>
        </w:tc>
      </w:tr>
      <w:tr w:rsidR="002B4C2F" w:rsidRPr="002B4C2F" w14:paraId="1F6B84ED" w14:textId="77777777" w:rsidTr="000E34A2">
        <w:tc>
          <w:tcPr>
            <w:tcW w:w="2613" w:type="dxa"/>
            <w:vMerge/>
          </w:tcPr>
          <w:p w14:paraId="3912EAFD" w14:textId="77777777" w:rsidR="002B4C2F" w:rsidRPr="002B4C2F" w:rsidRDefault="002B4C2F" w:rsidP="002B4C2F">
            <w:pPr>
              <w:rPr>
                <w:rFonts w:cs="Arial"/>
              </w:rPr>
            </w:pPr>
          </w:p>
        </w:tc>
        <w:tc>
          <w:tcPr>
            <w:tcW w:w="2470" w:type="dxa"/>
            <w:vMerge/>
          </w:tcPr>
          <w:p w14:paraId="25CDCA66" w14:textId="77777777" w:rsidR="002B4C2F" w:rsidRPr="002B4C2F" w:rsidRDefault="002B4C2F" w:rsidP="002B4C2F">
            <w:pPr>
              <w:rPr>
                <w:rFonts w:cs="Arial"/>
              </w:rPr>
            </w:pPr>
          </w:p>
        </w:tc>
        <w:tc>
          <w:tcPr>
            <w:tcW w:w="5940" w:type="dxa"/>
          </w:tcPr>
          <w:p w14:paraId="62DA6067" w14:textId="77777777" w:rsidR="002B4C2F" w:rsidRPr="002B4C2F" w:rsidRDefault="002B4C2F" w:rsidP="002B4C2F">
            <w:pPr>
              <w:rPr>
                <w:rFonts w:cs="Arial"/>
              </w:rPr>
            </w:pPr>
            <w:r w:rsidRPr="002B4C2F">
              <w:rPr>
                <w:rFonts w:cs="Arial"/>
              </w:rPr>
              <w:t>Areas in which civil society organized against certain projects, companies, activities but without generating paralysis.</w:t>
            </w:r>
          </w:p>
        </w:tc>
        <w:tc>
          <w:tcPr>
            <w:tcW w:w="2297" w:type="dxa"/>
          </w:tcPr>
          <w:p w14:paraId="6EB135D8" w14:textId="77777777" w:rsidR="002B4C2F" w:rsidRPr="002B4C2F" w:rsidRDefault="002B4C2F" w:rsidP="002B4C2F">
            <w:pPr>
              <w:rPr>
                <w:rFonts w:cs="Arial"/>
              </w:rPr>
            </w:pPr>
          </w:p>
        </w:tc>
      </w:tr>
      <w:tr w:rsidR="002B4C2F" w:rsidRPr="002B4C2F" w14:paraId="235C4C50" w14:textId="77777777" w:rsidTr="000E34A2">
        <w:tc>
          <w:tcPr>
            <w:tcW w:w="2613" w:type="dxa"/>
            <w:vMerge/>
          </w:tcPr>
          <w:p w14:paraId="7AD72979" w14:textId="77777777" w:rsidR="002B4C2F" w:rsidRPr="002B4C2F" w:rsidRDefault="002B4C2F" w:rsidP="002B4C2F">
            <w:pPr>
              <w:rPr>
                <w:rFonts w:cs="Arial"/>
              </w:rPr>
            </w:pPr>
          </w:p>
        </w:tc>
        <w:tc>
          <w:tcPr>
            <w:tcW w:w="2470" w:type="dxa"/>
            <w:vMerge w:val="restart"/>
            <w:vAlign w:val="center"/>
          </w:tcPr>
          <w:p w14:paraId="2B5EFBB2" w14:textId="606C10B1" w:rsidR="002B4C2F" w:rsidRPr="002B4C2F" w:rsidRDefault="002B4C2F" w:rsidP="002B4C2F">
            <w:pPr>
              <w:rPr>
                <w:rFonts w:cs="Arial"/>
              </w:rPr>
            </w:pPr>
            <w:r w:rsidRPr="002B4C2F">
              <w:rPr>
                <w:rFonts w:cs="Arial"/>
              </w:rPr>
              <w:t>Conflicts over land use and public services</w:t>
            </w:r>
          </w:p>
        </w:tc>
        <w:tc>
          <w:tcPr>
            <w:tcW w:w="5940" w:type="dxa"/>
          </w:tcPr>
          <w:p w14:paraId="75EAB580" w14:textId="77777777" w:rsidR="002B4C2F" w:rsidRPr="002B4C2F" w:rsidRDefault="002B4C2F" w:rsidP="002B4C2F">
            <w:pPr>
              <w:rPr>
                <w:rFonts w:cs="Arial"/>
              </w:rPr>
            </w:pPr>
            <w:r w:rsidRPr="002B4C2F">
              <w:rPr>
                <w:rFonts w:cs="Arial"/>
              </w:rPr>
              <w:t xml:space="preserve">High energy consumption in areas of low abundance/low quality or intensive use. </w:t>
            </w:r>
          </w:p>
        </w:tc>
        <w:tc>
          <w:tcPr>
            <w:tcW w:w="2297" w:type="dxa"/>
          </w:tcPr>
          <w:p w14:paraId="4841E789" w14:textId="77777777" w:rsidR="002B4C2F" w:rsidRPr="002B4C2F" w:rsidRDefault="002B4C2F" w:rsidP="002B4C2F">
            <w:pPr>
              <w:rPr>
                <w:rFonts w:cs="Arial"/>
              </w:rPr>
            </w:pPr>
          </w:p>
        </w:tc>
      </w:tr>
      <w:tr w:rsidR="002B4C2F" w:rsidRPr="002B4C2F" w14:paraId="6E8065CC" w14:textId="77777777" w:rsidTr="000E34A2">
        <w:tc>
          <w:tcPr>
            <w:tcW w:w="2613" w:type="dxa"/>
            <w:vMerge/>
          </w:tcPr>
          <w:p w14:paraId="26E84EDD" w14:textId="77777777" w:rsidR="002B4C2F" w:rsidRPr="002B4C2F" w:rsidRDefault="002B4C2F" w:rsidP="002B4C2F">
            <w:pPr>
              <w:rPr>
                <w:rFonts w:cs="Arial"/>
              </w:rPr>
            </w:pPr>
          </w:p>
        </w:tc>
        <w:tc>
          <w:tcPr>
            <w:tcW w:w="2470" w:type="dxa"/>
            <w:vMerge/>
          </w:tcPr>
          <w:p w14:paraId="392637CC" w14:textId="77777777" w:rsidR="002B4C2F" w:rsidRPr="002B4C2F" w:rsidRDefault="002B4C2F" w:rsidP="002B4C2F">
            <w:pPr>
              <w:rPr>
                <w:rFonts w:cs="Arial"/>
              </w:rPr>
            </w:pPr>
          </w:p>
        </w:tc>
        <w:tc>
          <w:tcPr>
            <w:tcW w:w="5940" w:type="dxa"/>
          </w:tcPr>
          <w:p w14:paraId="0A3759D7" w14:textId="77777777" w:rsidR="002B4C2F" w:rsidRPr="002B4C2F" w:rsidRDefault="002B4C2F" w:rsidP="002B4C2F">
            <w:pPr>
              <w:rPr>
                <w:rFonts w:cs="Arial"/>
              </w:rPr>
            </w:pPr>
            <w:r w:rsidRPr="002B4C2F">
              <w:rPr>
                <w:rFonts w:cs="Arial"/>
              </w:rPr>
              <w:t>High consumption of drinking water in areas of low abundance/low quality or intensive use.</w:t>
            </w:r>
          </w:p>
        </w:tc>
        <w:tc>
          <w:tcPr>
            <w:tcW w:w="2297" w:type="dxa"/>
          </w:tcPr>
          <w:p w14:paraId="087E4096" w14:textId="77777777" w:rsidR="002B4C2F" w:rsidRPr="002B4C2F" w:rsidRDefault="002B4C2F" w:rsidP="002B4C2F">
            <w:pPr>
              <w:rPr>
                <w:rFonts w:cs="Arial"/>
              </w:rPr>
            </w:pPr>
          </w:p>
        </w:tc>
      </w:tr>
      <w:tr w:rsidR="002B4C2F" w:rsidRPr="002B4C2F" w14:paraId="6155B6FF" w14:textId="77777777" w:rsidTr="000E34A2">
        <w:tc>
          <w:tcPr>
            <w:tcW w:w="2613" w:type="dxa"/>
            <w:vMerge/>
          </w:tcPr>
          <w:p w14:paraId="4ECE42DD" w14:textId="77777777" w:rsidR="002B4C2F" w:rsidRPr="002B4C2F" w:rsidRDefault="002B4C2F" w:rsidP="002B4C2F">
            <w:pPr>
              <w:rPr>
                <w:rFonts w:cs="Arial"/>
              </w:rPr>
            </w:pPr>
          </w:p>
        </w:tc>
        <w:tc>
          <w:tcPr>
            <w:tcW w:w="2470" w:type="dxa"/>
            <w:vMerge/>
          </w:tcPr>
          <w:p w14:paraId="59E7E695" w14:textId="77777777" w:rsidR="002B4C2F" w:rsidRPr="002B4C2F" w:rsidRDefault="002B4C2F" w:rsidP="002B4C2F">
            <w:pPr>
              <w:rPr>
                <w:rFonts w:cs="Arial"/>
              </w:rPr>
            </w:pPr>
          </w:p>
        </w:tc>
        <w:tc>
          <w:tcPr>
            <w:tcW w:w="5940" w:type="dxa"/>
          </w:tcPr>
          <w:p w14:paraId="3085DB37" w14:textId="77777777" w:rsidR="002B4C2F" w:rsidRPr="002B4C2F" w:rsidRDefault="002B4C2F" w:rsidP="002B4C2F">
            <w:pPr>
              <w:rPr>
                <w:rFonts w:cs="Arial"/>
              </w:rPr>
            </w:pPr>
            <w:r w:rsidRPr="002B4C2F">
              <w:rPr>
                <w:rFonts w:cs="Arial"/>
              </w:rPr>
              <w:t>Pre-existing effects on urban everyday life.</w:t>
            </w:r>
          </w:p>
        </w:tc>
        <w:tc>
          <w:tcPr>
            <w:tcW w:w="2297" w:type="dxa"/>
          </w:tcPr>
          <w:p w14:paraId="1A3794D7" w14:textId="77777777" w:rsidR="002B4C2F" w:rsidRPr="002B4C2F" w:rsidRDefault="002B4C2F" w:rsidP="002B4C2F">
            <w:pPr>
              <w:rPr>
                <w:rFonts w:cs="Arial"/>
              </w:rPr>
            </w:pPr>
          </w:p>
        </w:tc>
      </w:tr>
      <w:tr w:rsidR="002B4C2F" w:rsidRPr="002B4C2F" w14:paraId="1272CDB0" w14:textId="77777777" w:rsidTr="000E34A2">
        <w:tc>
          <w:tcPr>
            <w:tcW w:w="2613" w:type="dxa"/>
            <w:vMerge/>
          </w:tcPr>
          <w:p w14:paraId="305A4C00" w14:textId="77777777" w:rsidR="002B4C2F" w:rsidRPr="002B4C2F" w:rsidRDefault="002B4C2F" w:rsidP="002B4C2F">
            <w:pPr>
              <w:rPr>
                <w:rFonts w:cs="Arial"/>
              </w:rPr>
            </w:pPr>
          </w:p>
        </w:tc>
        <w:tc>
          <w:tcPr>
            <w:tcW w:w="2470" w:type="dxa"/>
            <w:vMerge/>
          </w:tcPr>
          <w:p w14:paraId="13225D0A" w14:textId="77777777" w:rsidR="002B4C2F" w:rsidRPr="002B4C2F" w:rsidRDefault="002B4C2F" w:rsidP="002B4C2F">
            <w:pPr>
              <w:rPr>
                <w:rFonts w:cs="Arial"/>
              </w:rPr>
            </w:pPr>
          </w:p>
        </w:tc>
        <w:tc>
          <w:tcPr>
            <w:tcW w:w="5940" w:type="dxa"/>
          </w:tcPr>
          <w:p w14:paraId="28581596" w14:textId="77777777" w:rsidR="002B4C2F" w:rsidRPr="002B4C2F" w:rsidRDefault="002B4C2F" w:rsidP="002B4C2F">
            <w:pPr>
              <w:rPr>
                <w:rFonts w:cs="Arial"/>
              </w:rPr>
            </w:pPr>
            <w:r w:rsidRPr="002B4C2F">
              <w:rPr>
                <w:rFonts w:cs="Arial"/>
              </w:rPr>
              <w:t>Visibly contaminated areas (also includes polluted water bodies and/or low air quality).</w:t>
            </w:r>
          </w:p>
        </w:tc>
        <w:tc>
          <w:tcPr>
            <w:tcW w:w="2297" w:type="dxa"/>
          </w:tcPr>
          <w:p w14:paraId="5640E3DF" w14:textId="77777777" w:rsidR="002B4C2F" w:rsidRPr="002B4C2F" w:rsidRDefault="002B4C2F" w:rsidP="002B4C2F">
            <w:pPr>
              <w:rPr>
                <w:rFonts w:cs="Arial"/>
              </w:rPr>
            </w:pPr>
          </w:p>
        </w:tc>
      </w:tr>
      <w:tr w:rsidR="002B4C2F" w:rsidRPr="002B4C2F" w14:paraId="0ACBE961" w14:textId="77777777" w:rsidTr="000E34A2">
        <w:tc>
          <w:tcPr>
            <w:tcW w:w="2613" w:type="dxa"/>
            <w:vMerge/>
          </w:tcPr>
          <w:p w14:paraId="59498D16" w14:textId="77777777" w:rsidR="002B4C2F" w:rsidRPr="002B4C2F" w:rsidRDefault="002B4C2F" w:rsidP="002B4C2F">
            <w:pPr>
              <w:rPr>
                <w:rFonts w:cs="Arial"/>
              </w:rPr>
            </w:pPr>
          </w:p>
        </w:tc>
        <w:tc>
          <w:tcPr>
            <w:tcW w:w="2470" w:type="dxa"/>
            <w:vMerge/>
          </w:tcPr>
          <w:p w14:paraId="75B66F03" w14:textId="77777777" w:rsidR="002B4C2F" w:rsidRPr="002B4C2F" w:rsidRDefault="002B4C2F" w:rsidP="002B4C2F">
            <w:pPr>
              <w:rPr>
                <w:rFonts w:cs="Arial"/>
              </w:rPr>
            </w:pPr>
          </w:p>
        </w:tc>
        <w:tc>
          <w:tcPr>
            <w:tcW w:w="5940" w:type="dxa"/>
          </w:tcPr>
          <w:p w14:paraId="72CDC71D" w14:textId="77777777" w:rsidR="002B4C2F" w:rsidRPr="002B4C2F" w:rsidRDefault="002B4C2F" w:rsidP="002B4C2F">
            <w:pPr>
              <w:rPr>
                <w:rFonts w:cs="Arial"/>
              </w:rPr>
            </w:pPr>
            <w:r w:rsidRPr="002B4C2F">
              <w:rPr>
                <w:rFonts w:cs="Arial"/>
              </w:rPr>
              <w:t>Areas with incompatible uses for the purposes of the project.</w:t>
            </w:r>
          </w:p>
        </w:tc>
        <w:tc>
          <w:tcPr>
            <w:tcW w:w="2297" w:type="dxa"/>
          </w:tcPr>
          <w:p w14:paraId="5B5C9BA5" w14:textId="77777777" w:rsidR="002B4C2F" w:rsidRPr="002B4C2F" w:rsidRDefault="002B4C2F" w:rsidP="002B4C2F">
            <w:pPr>
              <w:rPr>
                <w:rFonts w:cs="Arial"/>
              </w:rPr>
            </w:pPr>
          </w:p>
        </w:tc>
      </w:tr>
      <w:tr w:rsidR="002B4C2F" w:rsidRPr="002B4C2F" w14:paraId="65BEC7ED" w14:textId="77777777" w:rsidTr="000E34A2">
        <w:tc>
          <w:tcPr>
            <w:tcW w:w="2613" w:type="dxa"/>
            <w:vMerge/>
          </w:tcPr>
          <w:p w14:paraId="4BC4D8F2" w14:textId="77777777" w:rsidR="002B4C2F" w:rsidRPr="002B4C2F" w:rsidRDefault="002B4C2F" w:rsidP="002B4C2F">
            <w:pPr>
              <w:rPr>
                <w:rFonts w:cs="Arial"/>
              </w:rPr>
            </w:pPr>
          </w:p>
        </w:tc>
        <w:tc>
          <w:tcPr>
            <w:tcW w:w="2470" w:type="dxa"/>
            <w:vMerge w:val="restart"/>
            <w:vAlign w:val="center"/>
          </w:tcPr>
          <w:p w14:paraId="59C3AA48" w14:textId="3D38D76D" w:rsidR="002B4C2F" w:rsidRPr="002B4C2F" w:rsidRDefault="002B4C2F" w:rsidP="002B4C2F">
            <w:pPr>
              <w:rPr>
                <w:rFonts w:cs="Arial"/>
              </w:rPr>
            </w:pPr>
            <w:r w:rsidRPr="002B4C2F">
              <w:rPr>
                <w:rFonts w:cs="Arial"/>
              </w:rPr>
              <w:t>Population resettlements</w:t>
            </w:r>
          </w:p>
        </w:tc>
        <w:tc>
          <w:tcPr>
            <w:tcW w:w="5940" w:type="dxa"/>
          </w:tcPr>
          <w:p w14:paraId="42687B5A" w14:textId="77777777" w:rsidR="002B4C2F" w:rsidRPr="002B4C2F" w:rsidRDefault="002B4C2F" w:rsidP="002B4C2F">
            <w:pPr>
              <w:rPr>
                <w:rFonts w:cs="Arial"/>
              </w:rPr>
            </w:pPr>
            <w:r w:rsidRPr="002B4C2F">
              <w:rPr>
                <w:rFonts w:cs="Arial"/>
              </w:rPr>
              <w:t>Population area potentially affected by resettlement is equal to or greater than 200 people and/or risk of presence of irregular or informal possessors.</w:t>
            </w:r>
          </w:p>
        </w:tc>
        <w:tc>
          <w:tcPr>
            <w:tcW w:w="2297" w:type="dxa"/>
          </w:tcPr>
          <w:p w14:paraId="3D50F474" w14:textId="77777777" w:rsidR="002B4C2F" w:rsidRPr="002B4C2F" w:rsidRDefault="002B4C2F" w:rsidP="002B4C2F">
            <w:pPr>
              <w:rPr>
                <w:rFonts w:cs="Arial"/>
              </w:rPr>
            </w:pPr>
          </w:p>
        </w:tc>
      </w:tr>
      <w:tr w:rsidR="002B4C2F" w:rsidRPr="002B4C2F" w14:paraId="6AEDBF68" w14:textId="77777777" w:rsidTr="000E34A2">
        <w:tc>
          <w:tcPr>
            <w:tcW w:w="2613" w:type="dxa"/>
            <w:vMerge/>
          </w:tcPr>
          <w:p w14:paraId="6308BB5E" w14:textId="77777777" w:rsidR="002B4C2F" w:rsidRPr="002B4C2F" w:rsidRDefault="002B4C2F" w:rsidP="002B4C2F">
            <w:pPr>
              <w:rPr>
                <w:rFonts w:cs="Arial"/>
              </w:rPr>
            </w:pPr>
          </w:p>
        </w:tc>
        <w:tc>
          <w:tcPr>
            <w:tcW w:w="2470" w:type="dxa"/>
            <w:vMerge/>
          </w:tcPr>
          <w:p w14:paraId="6108F10B" w14:textId="77777777" w:rsidR="002B4C2F" w:rsidRPr="002B4C2F" w:rsidRDefault="002B4C2F" w:rsidP="002B4C2F">
            <w:pPr>
              <w:rPr>
                <w:rFonts w:cs="Arial"/>
              </w:rPr>
            </w:pPr>
          </w:p>
        </w:tc>
        <w:tc>
          <w:tcPr>
            <w:tcW w:w="5940" w:type="dxa"/>
          </w:tcPr>
          <w:p w14:paraId="2F14226A" w14:textId="77777777" w:rsidR="002B4C2F" w:rsidRPr="002B4C2F" w:rsidRDefault="002B4C2F" w:rsidP="002B4C2F">
            <w:pPr>
              <w:rPr>
                <w:rFonts w:cs="Arial"/>
              </w:rPr>
            </w:pPr>
            <w:r w:rsidRPr="002B4C2F">
              <w:rPr>
                <w:rFonts w:cs="Arial"/>
              </w:rPr>
              <w:t>Area with population potentially affected by resettlement is less than 200 people and more than 20 people.</w:t>
            </w:r>
          </w:p>
        </w:tc>
        <w:tc>
          <w:tcPr>
            <w:tcW w:w="2297" w:type="dxa"/>
          </w:tcPr>
          <w:p w14:paraId="32791A2B" w14:textId="77777777" w:rsidR="002B4C2F" w:rsidRPr="002B4C2F" w:rsidRDefault="002B4C2F" w:rsidP="002B4C2F">
            <w:pPr>
              <w:rPr>
                <w:rFonts w:cs="Arial"/>
              </w:rPr>
            </w:pPr>
          </w:p>
        </w:tc>
      </w:tr>
      <w:tr w:rsidR="002B4C2F" w:rsidRPr="002B4C2F" w14:paraId="092DCED1" w14:textId="77777777" w:rsidTr="000E34A2">
        <w:tc>
          <w:tcPr>
            <w:tcW w:w="2613" w:type="dxa"/>
            <w:vMerge/>
          </w:tcPr>
          <w:p w14:paraId="3DD4E62D" w14:textId="77777777" w:rsidR="002B4C2F" w:rsidRPr="002B4C2F" w:rsidRDefault="002B4C2F" w:rsidP="002B4C2F">
            <w:pPr>
              <w:rPr>
                <w:rFonts w:cs="Arial"/>
              </w:rPr>
            </w:pPr>
          </w:p>
        </w:tc>
        <w:tc>
          <w:tcPr>
            <w:tcW w:w="2470" w:type="dxa"/>
            <w:vMerge/>
          </w:tcPr>
          <w:p w14:paraId="2B8F2DAE" w14:textId="77777777" w:rsidR="002B4C2F" w:rsidRPr="002B4C2F" w:rsidRDefault="002B4C2F" w:rsidP="002B4C2F">
            <w:pPr>
              <w:rPr>
                <w:rFonts w:cs="Arial"/>
              </w:rPr>
            </w:pPr>
          </w:p>
        </w:tc>
        <w:tc>
          <w:tcPr>
            <w:tcW w:w="5940" w:type="dxa"/>
          </w:tcPr>
          <w:p w14:paraId="2ED8442E" w14:textId="77777777" w:rsidR="002B4C2F" w:rsidRPr="002B4C2F" w:rsidRDefault="002B4C2F" w:rsidP="002B4C2F">
            <w:pPr>
              <w:rPr>
                <w:rFonts w:cs="Arial"/>
              </w:rPr>
            </w:pPr>
            <w:r w:rsidRPr="002B4C2F">
              <w:rPr>
                <w:rFonts w:cs="Arial"/>
              </w:rPr>
              <w:t>Areas with a population potentially affected by resettlement is less than 20 people.</w:t>
            </w:r>
          </w:p>
        </w:tc>
        <w:tc>
          <w:tcPr>
            <w:tcW w:w="2297" w:type="dxa"/>
          </w:tcPr>
          <w:p w14:paraId="39BC55A1" w14:textId="77777777" w:rsidR="002B4C2F" w:rsidRPr="002B4C2F" w:rsidRDefault="002B4C2F" w:rsidP="002B4C2F">
            <w:pPr>
              <w:rPr>
                <w:rFonts w:cs="Arial"/>
              </w:rPr>
            </w:pPr>
          </w:p>
        </w:tc>
      </w:tr>
      <w:tr w:rsidR="002B4C2F" w:rsidRPr="006A1A36" w14:paraId="36440C65" w14:textId="77777777" w:rsidTr="000E34A2">
        <w:tc>
          <w:tcPr>
            <w:tcW w:w="2613" w:type="dxa"/>
            <w:vMerge/>
          </w:tcPr>
          <w:p w14:paraId="3D63ECC9" w14:textId="77777777" w:rsidR="002B4C2F" w:rsidRPr="006A1A36" w:rsidRDefault="002B4C2F"/>
        </w:tc>
        <w:tc>
          <w:tcPr>
            <w:tcW w:w="2470" w:type="dxa"/>
            <w:vMerge w:val="restart"/>
            <w:vAlign w:val="center"/>
          </w:tcPr>
          <w:p w14:paraId="3D7FB216" w14:textId="77777777" w:rsidR="002B4C2F" w:rsidRPr="006A1A36" w:rsidRDefault="002B4C2F" w:rsidP="002B4C2F">
            <w:pPr>
              <w:jc w:val="left"/>
            </w:pPr>
            <w:r w:rsidRPr="00D30D95">
              <w:t>Management of regulatory entities and application of environmental regulations.</w:t>
            </w:r>
          </w:p>
        </w:tc>
        <w:tc>
          <w:tcPr>
            <w:tcW w:w="5940" w:type="dxa"/>
          </w:tcPr>
          <w:p w14:paraId="66DFD260" w14:textId="77777777" w:rsidR="002B4C2F" w:rsidRPr="00EA4431" w:rsidRDefault="002B4C2F">
            <w:r w:rsidRPr="00D30D95">
              <w:t xml:space="preserve">Areas with uncertainty of the application or existence of the legal framework. </w:t>
            </w:r>
          </w:p>
        </w:tc>
        <w:tc>
          <w:tcPr>
            <w:tcW w:w="2297" w:type="dxa"/>
          </w:tcPr>
          <w:p w14:paraId="3396ABA8" w14:textId="77777777" w:rsidR="002B4C2F" w:rsidRPr="006A1A36" w:rsidRDefault="002B4C2F"/>
        </w:tc>
      </w:tr>
      <w:tr w:rsidR="002B4C2F" w:rsidRPr="006A1A36" w14:paraId="494A5628" w14:textId="77777777" w:rsidTr="000E34A2">
        <w:tc>
          <w:tcPr>
            <w:tcW w:w="2613" w:type="dxa"/>
            <w:vMerge/>
          </w:tcPr>
          <w:p w14:paraId="6B9C59A7" w14:textId="77777777" w:rsidR="002B4C2F" w:rsidRPr="006A1A36" w:rsidRDefault="002B4C2F"/>
        </w:tc>
        <w:tc>
          <w:tcPr>
            <w:tcW w:w="2470" w:type="dxa"/>
            <w:vMerge/>
          </w:tcPr>
          <w:p w14:paraId="68284923" w14:textId="77777777" w:rsidR="002B4C2F" w:rsidRPr="006A1A36" w:rsidRDefault="002B4C2F"/>
        </w:tc>
        <w:tc>
          <w:tcPr>
            <w:tcW w:w="5940" w:type="dxa"/>
          </w:tcPr>
          <w:p w14:paraId="6C8AAC16" w14:textId="77777777" w:rsidR="002B4C2F" w:rsidRPr="00EA4431" w:rsidRDefault="002B4C2F">
            <w:r w:rsidRPr="00D30D95">
              <w:t>Areas where regulatory entities act randomly or with disproportionate measures or with the presence of a conflict of jurisdiction.</w:t>
            </w:r>
          </w:p>
        </w:tc>
        <w:tc>
          <w:tcPr>
            <w:tcW w:w="2297" w:type="dxa"/>
          </w:tcPr>
          <w:p w14:paraId="1EF8C92C" w14:textId="77777777" w:rsidR="002B4C2F" w:rsidRPr="006A1A36" w:rsidRDefault="002B4C2F"/>
        </w:tc>
      </w:tr>
      <w:tr w:rsidR="002B4C2F" w:rsidRPr="006A1A36" w14:paraId="6ECEF722" w14:textId="77777777" w:rsidTr="000E34A2">
        <w:tc>
          <w:tcPr>
            <w:tcW w:w="2613" w:type="dxa"/>
            <w:vMerge/>
          </w:tcPr>
          <w:p w14:paraId="43D806B6" w14:textId="77777777" w:rsidR="002B4C2F" w:rsidRPr="006A1A36" w:rsidRDefault="002B4C2F"/>
        </w:tc>
        <w:tc>
          <w:tcPr>
            <w:tcW w:w="2470" w:type="dxa"/>
            <w:vMerge/>
          </w:tcPr>
          <w:p w14:paraId="51864736" w14:textId="77777777" w:rsidR="002B4C2F" w:rsidRPr="006A1A36" w:rsidRDefault="002B4C2F"/>
        </w:tc>
        <w:tc>
          <w:tcPr>
            <w:tcW w:w="5940" w:type="dxa"/>
          </w:tcPr>
          <w:p w14:paraId="2766CD51" w14:textId="77777777" w:rsidR="002B4C2F" w:rsidRPr="00EA4431" w:rsidRDefault="002B4C2F">
            <w:r w:rsidRPr="00D30D95">
              <w:t>Areas with existing regulation that have not been reviewed or are under review</w:t>
            </w:r>
            <w:r>
              <w:t>.</w:t>
            </w:r>
          </w:p>
        </w:tc>
        <w:tc>
          <w:tcPr>
            <w:tcW w:w="2297" w:type="dxa"/>
          </w:tcPr>
          <w:p w14:paraId="2DDF6914" w14:textId="77777777" w:rsidR="002B4C2F" w:rsidRPr="006A1A36" w:rsidRDefault="002B4C2F"/>
        </w:tc>
      </w:tr>
      <w:tr w:rsidR="002B4C2F" w:rsidRPr="006A1A36" w14:paraId="3D1909E8" w14:textId="77777777" w:rsidTr="000E34A2">
        <w:tc>
          <w:tcPr>
            <w:tcW w:w="2613" w:type="dxa"/>
            <w:vMerge/>
          </w:tcPr>
          <w:p w14:paraId="14EBCF83" w14:textId="77777777" w:rsidR="002B4C2F" w:rsidRPr="006A1A36" w:rsidRDefault="002B4C2F"/>
        </w:tc>
        <w:tc>
          <w:tcPr>
            <w:tcW w:w="2470" w:type="dxa"/>
            <w:vMerge/>
          </w:tcPr>
          <w:p w14:paraId="35848751" w14:textId="77777777" w:rsidR="002B4C2F" w:rsidRPr="006A1A36" w:rsidRDefault="002B4C2F"/>
        </w:tc>
        <w:tc>
          <w:tcPr>
            <w:tcW w:w="5940" w:type="dxa"/>
          </w:tcPr>
          <w:p w14:paraId="38480724" w14:textId="77777777" w:rsidR="002B4C2F" w:rsidRPr="00EA4431" w:rsidRDefault="002B4C2F">
            <w:r w:rsidRPr="00D30D95">
              <w:t xml:space="preserve">Areas where regulatory entities act with foresight.   </w:t>
            </w:r>
          </w:p>
        </w:tc>
        <w:tc>
          <w:tcPr>
            <w:tcW w:w="2297" w:type="dxa"/>
          </w:tcPr>
          <w:p w14:paraId="3E46CC51" w14:textId="77777777" w:rsidR="002B4C2F" w:rsidRPr="006A1A36" w:rsidRDefault="002B4C2F"/>
        </w:tc>
      </w:tr>
      <w:tr w:rsidR="002B4C2F" w:rsidRPr="006A1A36" w14:paraId="527AB524" w14:textId="77777777" w:rsidTr="000E34A2">
        <w:tc>
          <w:tcPr>
            <w:tcW w:w="2613" w:type="dxa"/>
            <w:vMerge/>
          </w:tcPr>
          <w:p w14:paraId="049DD1E4" w14:textId="77777777" w:rsidR="002B4C2F" w:rsidRPr="006A1A36" w:rsidRDefault="002B4C2F"/>
        </w:tc>
        <w:tc>
          <w:tcPr>
            <w:tcW w:w="2470" w:type="dxa"/>
            <w:vMerge/>
          </w:tcPr>
          <w:p w14:paraId="3589CBAE" w14:textId="77777777" w:rsidR="002B4C2F" w:rsidRPr="006A1A36" w:rsidRDefault="002B4C2F"/>
        </w:tc>
        <w:tc>
          <w:tcPr>
            <w:tcW w:w="5940" w:type="dxa"/>
          </w:tcPr>
          <w:p w14:paraId="0257A05E" w14:textId="77777777" w:rsidR="002B4C2F" w:rsidRPr="00D30D95" w:rsidRDefault="002B4C2F">
            <w:r w:rsidRPr="0003529D">
              <w:t xml:space="preserve">Areas with well-defined legislation but with entities with limited capacity to act. </w:t>
            </w:r>
          </w:p>
        </w:tc>
        <w:tc>
          <w:tcPr>
            <w:tcW w:w="2297" w:type="dxa"/>
          </w:tcPr>
          <w:p w14:paraId="76AFD491" w14:textId="77777777" w:rsidR="002B4C2F" w:rsidRPr="006A1A36" w:rsidRDefault="002B4C2F"/>
        </w:tc>
      </w:tr>
      <w:tr w:rsidR="002B4C2F" w:rsidRPr="006A1A36" w14:paraId="6A0E33BF" w14:textId="77777777" w:rsidTr="000E34A2">
        <w:tc>
          <w:tcPr>
            <w:tcW w:w="2613" w:type="dxa"/>
            <w:vMerge/>
          </w:tcPr>
          <w:p w14:paraId="4883F73A" w14:textId="77777777" w:rsidR="002B4C2F" w:rsidRPr="006A1A36" w:rsidRDefault="002B4C2F"/>
        </w:tc>
        <w:tc>
          <w:tcPr>
            <w:tcW w:w="2470" w:type="dxa"/>
            <w:vMerge/>
          </w:tcPr>
          <w:p w14:paraId="09B03B0C" w14:textId="77777777" w:rsidR="002B4C2F" w:rsidRPr="006A1A36" w:rsidRDefault="002B4C2F"/>
        </w:tc>
        <w:tc>
          <w:tcPr>
            <w:tcW w:w="5940" w:type="dxa"/>
          </w:tcPr>
          <w:p w14:paraId="48D60012" w14:textId="77777777" w:rsidR="002B4C2F" w:rsidRPr="00D30D95" w:rsidRDefault="002B4C2F">
            <w:r w:rsidRPr="0003529D">
              <w:t>Areas of well-defined legislation and strong and stable regulatory entities.</w:t>
            </w:r>
          </w:p>
        </w:tc>
        <w:tc>
          <w:tcPr>
            <w:tcW w:w="2297" w:type="dxa"/>
          </w:tcPr>
          <w:p w14:paraId="54CD7BAB" w14:textId="77777777" w:rsidR="002B4C2F" w:rsidRPr="006A1A36" w:rsidRDefault="002B4C2F"/>
        </w:tc>
      </w:tr>
      <w:tr w:rsidR="002B4C2F" w:rsidRPr="006A1A36" w14:paraId="79462B45" w14:textId="77777777" w:rsidTr="000E34A2">
        <w:tc>
          <w:tcPr>
            <w:tcW w:w="2613" w:type="dxa"/>
            <w:vMerge/>
          </w:tcPr>
          <w:p w14:paraId="3DE4246B" w14:textId="77777777" w:rsidR="002B4C2F" w:rsidRPr="006A1A36" w:rsidRDefault="002B4C2F"/>
        </w:tc>
        <w:tc>
          <w:tcPr>
            <w:tcW w:w="2470" w:type="dxa"/>
            <w:vMerge w:val="restart"/>
            <w:vAlign w:val="center"/>
          </w:tcPr>
          <w:p w14:paraId="7455E446" w14:textId="381C5E3E" w:rsidR="002B4C2F" w:rsidRPr="006A1A36" w:rsidRDefault="002B4C2F">
            <w:r w:rsidRPr="00777E33">
              <w:t>Executing agency and related entities</w:t>
            </w:r>
          </w:p>
        </w:tc>
        <w:tc>
          <w:tcPr>
            <w:tcW w:w="5940" w:type="dxa"/>
          </w:tcPr>
          <w:p w14:paraId="1E23559B" w14:textId="77777777" w:rsidR="002B4C2F" w:rsidRPr="0003529D" w:rsidRDefault="002B4C2F">
            <w:r w:rsidRPr="00777E33">
              <w:t>Management capacity of the Executing Agency.</w:t>
            </w:r>
          </w:p>
        </w:tc>
        <w:tc>
          <w:tcPr>
            <w:tcW w:w="2297" w:type="dxa"/>
          </w:tcPr>
          <w:p w14:paraId="4C97DEAB" w14:textId="77777777" w:rsidR="002B4C2F" w:rsidRPr="006A1A36" w:rsidRDefault="002B4C2F"/>
        </w:tc>
      </w:tr>
      <w:tr w:rsidR="002B4C2F" w:rsidRPr="006A1A36" w14:paraId="0991FAD3" w14:textId="77777777" w:rsidTr="000E34A2">
        <w:tc>
          <w:tcPr>
            <w:tcW w:w="2613" w:type="dxa"/>
            <w:vMerge/>
          </w:tcPr>
          <w:p w14:paraId="13F6FE84" w14:textId="77777777" w:rsidR="002B4C2F" w:rsidRPr="006A1A36" w:rsidRDefault="002B4C2F"/>
        </w:tc>
        <w:tc>
          <w:tcPr>
            <w:tcW w:w="2470" w:type="dxa"/>
            <w:vMerge/>
          </w:tcPr>
          <w:p w14:paraId="058EB897" w14:textId="77777777" w:rsidR="002B4C2F" w:rsidRPr="006A1A36" w:rsidRDefault="002B4C2F"/>
        </w:tc>
        <w:tc>
          <w:tcPr>
            <w:tcW w:w="5940" w:type="dxa"/>
          </w:tcPr>
          <w:p w14:paraId="4F4C39E5" w14:textId="77777777" w:rsidR="002B4C2F" w:rsidRPr="0003529D" w:rsidRDefault="002B4C2F">
            <w:r w:rsidRPr="00777E33">
              <w:t>Attitude of the executing agency towards CAF.</w:t>
            </w:r>
          </w:p>
        </w:tc>
        <w:tc>
          <w:tcPr>
            <w:tcW w:w="2297" w:type="dxa"/>
          </w:tcPr>
          <w:p w14:paraId="3A55D325" w14:textId="77777777" w:rsidR="002B4C2F" w:rsidRPr="006A1A36" w:rsidRDefault="002B4C2F"/>
        </w:tc>
      </w:tr>
      <w:tr w:rsidR="002B4C2F" w:rsidRPr="006A1A36" w14:paraId="36734E76" w14:textId="77777777" w:rsidTr="000E34A2">
        <w:tc>
          <w:tcPr>
            <w:tcW w:w="2613" w:type="dxa"/>
            <w:vMerge/>
          </w:tcPr>
          <w:p w14:paraId="405035F6" w14:textId="77777777" w:rsidR="002B4C2F" w:rsidRPr="006A1A36" w:rsidRDefault="002B4C2F"/>
        </w:tc>
        <w:tc>
          <w:tcPr>
            <w:tcW w:w="2470" w:type="dxa"/>
            <w:vMerge/>
          </w:tcPr>
          <w:p w14:paraId="6032F8E1" w14:textId="77777777" w:rsidR="002B4C2F" w:rsidRPr="006A1A36" w:rsidRDefault="002B4C2F"/>
        </w:tc>
        <w:tc>
          <w:tcPr>
            <w:tcW w:w="5940" w:type="dxa"/>
          </w:tcPr>
          <w:p w14:paraId="1E82B9C4" w14:textId="77777777" w:rsidR="002B4C2F" w:rsidRPr="0003529D" w:rsidRDefault="002B4C2F">
            <w:r w:rsidRPr="00777E33">
              <w:t>Political - institutional context</w:t>
            </w:r>
            <w:r>
              <w:t>.</w:t>
            </w:r>
          </w:p>
        </w:tc>
        <w:tc>
          <w:tcPr>
            <w:tcW w:w="2297" w:type="dxa"/>
          </w:tcPr>
          <w:p w14:paraId="181D4881" w14:textId="77777777" w:rsidR="002B4C2F" w:rsidRPr="006A1A36" w:rsidRDefault="002B4C2F"/>
        </w:tc>
      </w:tr>
      <w:tr w:rsidR="002B4C2F" w:rsidRPr="006A1A36" w14:paraId="01EFE634" w14:textId="77777777" w:rsidTr="000E34A2">
        <w:tc>
          <w:tcPr>
            <w:tcW w:w="2613" w:type="dxa"/>
            <w:vMerge/>
          </w:tcPr>
          <w:p w14:paraId="0095D74B" w14:textId="77777777" w:rsidR="002B4C2F" w:rsidRPr="006A1A36" w:rsidRDefault="002B4C2F"/>
        </w:tc>
        <w:tc>
          <w:tcPr>
            <w:tcW w:w="2470" w:type="dxa"/>
            <w:vMerge w:val="restart"/>
            <w:vAlign w:val="center"/>
          </w:tcPr>
          <w:p w14:paraId="0F71043B" w14:textId="5DED1AA9" w:rsidR="002B4C2F" w:rsidRPr="006A1A36" w:rsidRDefault="002B4C2F">
            <w:r>
              <w:t>Gender perspective</w:t>
            </w:r>
          </w:p>
        </w:tc>
        <w:tc>
          <w:tcPr>
            <w:tcW w:w="5940" w:type="dxa"/>
          </w:tcPr>
          <w:p w14:paraId="7DBC16CF" w14:textId="77777777" w:rsidR="002B4C2F" w:rsidRPr="0003529D" w:rsidRDefault="002B4C2F">
            <w:r w:rsidRPr="00A95428">
              <w:t>Territories/countries with the absence of public institutions against gender violence or with institutions with limited capacity for action, generally accompanied by the absence of statistical data and/or qualifications from reliable sources in relation to gender inequalities; high levels of gender gaps and/or gender-based violence and/</w:t>
            </w:r>
            <w:proofErr w:type="gramStart"/>
            <w:r w:rsidRPr="00A95428">
              <w:t>or;</w:t>
            </w:r>
            <w:proofErr w:type="gramEnd"/>
            <w:r w:rsidRPr="00A95428">
              <w:t xml:space="preserve"> and/or national or local legislation that discriminates against women.</w:t>
            </w:r>
          </w:p>
        </w:tc>
        <w:tc>
          <w:tcPr>
            <w:tcW w:w="2297" w:type="dxa"/>
          </w:tcPr>
          <w:p w14:paraId="33C40490" w14:textId="77777777" w:rsidR="002B4C2F" w:rsidRPr="006A1A36" w:rsidRDefault="002B4C2F"/>
        </w:tc>
      </w:tr>
      <w:tr w:rsidR="002B4C2F" w:rsidRPr="006A1A36" w14:paraId="740A107D" w14:textId="77777777" w:rsidTr="000E34A2">
        <w:tc>
          <w:tcPr>
            <w:tcW w:w="2613" w:type="dxa"/>
            <w:vMerge/>
          </w:tcPr>
          <w:p w14:paraId="6B5EFCDB" w14:textId="77777777" w:rsidR="002B4C2F" w:rsidRPr="006A1A36" w:rsidRDefault="002B4C2F"/>
        </w:tc>
        <w:tc>
          <w:tcPr>
            <w:tcW w:w="2470" w:type="dxa"/>
            <w:vMerge/>
          </w:tcPr>
          <w:p w14:paraId="36173E98" w14:textId="77777777" w:rsidR="002B4C2F" w:rsidRPr="006A1A36" w:rsidRDefault="002B4C2F"/>
        </w:tc>
        <w:tc>
          <w:tcPr>
            <w:tcW w:w="5940" w:type="dxa"/>
          </w:tcPr>
          <w:p w14:paraId="34C92051" w14:textId="77777777" w:rsidR="002B4C2F" w:rsidRPr="0003529D" w:rsidRDefault="002B4C2F">
            <w:r w:rsidRPr="00A95428">
              <w:t>Territories/countries where there is public institutional capacity to respond to existing and documented gender gaps with verifiable information, being able to present one or more negative indicators regarding the gender perspective applicable to the project.</w:t>
            </w:r>
          </w:p>
        </w:tc>
        <w:tc>
          <w:tcPr>
            <w:tcW w:w="2297" w:type="dxa"/>
          </w:tcPr>
          <w:p w14:paraId="22E987C3" w14:textId="77777777" w:rsidR="002B4C2F" w:rsidRPr="006A1A36" w:rsidRDefault="002B4C2F"/>
        </w:tc>
      </w:tr>
      <w:tr w:rsidR="002B4C2F" w:rsidRPr="006A1A36" w14:paraId="5313D7F6" w14:textId="77777777" w:rsidTr="000E34A2">
        <w:tc>
          <w:tcPr>
            <w:tcW w:w="2613" w:type="dxa"/>
            <w:vMerge/>
          </w:tcPr>
          <w:p w14:paraId="412784A5" w14:textId="77777777" w:rsidR="002B4C2F" w:rsidRPr="006A1A36" w:rsidRDefault="002B4C2F"/>
        </w:tc>
        <w:tc>
          <w:tcPr>
            <w:tcW w:w="2470" w:type="dxa"/>
            <w:vMerge/>
          </w:tcPr>
          <w:p w14:paraId="241883E3" w14:textId="77777777" w:rsidR="002B4C2F" w:rsidRPr="006A1A36" w:rsidRDefault="002B4C2F"/>
        </w:tc>
        <w:tc>
          <w:tcPr>
            <w:tcW w:w="5940" w:type="dxa"/>
          </w:tcPr>
          <w:p w14:paraId="5B885C0D" w14:textId="77777777" w:rsidR="002B4C2F" w:rsidRPr="00A95428" w:rsidRDefault="002B4C2F">
            <w:r w:rsidRPr="00A95428">
              <w:t xml:space="preserve">Territories/countries where there </w:t>
            </w:r>
            <w:proofErr w:type="gramStart"/>
            <w:r w:rsidRPr="00A95428">
              <w:t>is</w:t>
            </w:r>
            <w:proofErr w:type="gramEnd"/>
            <w:r w:rsidRPr="00A95428">
              <w:t xml:space="preserve"> strong public institutions and the presence of gender gaps present </w:t>
            </w:r>
            <w:proofErr w:type="spellStart"/>
            <w:r w:rsidRPr="00A95428">
              <w:t>favorable</w:t>
            </w:r>
            <w:proofErr w:type="spellEnd"/>
            <w:r w:rsidRPr="00A95428">
              <w:t xml:space="preserve"> or low-risk situations.</w:t>
            </w:r>
          </w:p>
        </w:tc>
        <w:tc>
          <w:tcPr>
            <w:tcW w:w="2297" w:type="dxa"/>
          </w:tcPr>
          <w:p w14:paraId="19404E98" w14:textId="77777777" w:rsidR="002B4C2F" w:rsidRPr="006A1A36" w:rsidRDefault="002B4C2F"/>
        </w:tc>
      </w:tr>
    </w:tbl>
    <w:p w14:paraId="3B50E1CB" w14:textId="7AFC6959" w:rsidR="002B4C2F" w:rsidRDefault="002B4C2F" w:rsidP="002B4C2F">
      <w:pPr>
        <w:spacing w:line="240" w:lineRule="auto"/>
        <w:sectPr w:rsidR="002B4C2F" w:rsidSect="00AF2AB6">
          <w:pgSz w:w="15840" w:h="12240" w:orient="landscape"/>
          <w:pgMar w:top="1440" w:right="1440" w:bottom="1440" w:left="1440" w:header="720" w:footer="720" w:gutter="0"/>
          <w:cols w:space="720"/>
          <w:docGrid w:linePitch="360"/>
        </w:sectPr>
      </w:pPr>
    </w:p>
    <w:p w14:paraId="3FA57766" w14:textId="3601CF73" w:rsidR="005436E2" w:rsidRDefault="005436E2" w:rsidP="00860468">
      <w:pPr>
        <w:pStyle w:val="Ttulo1"/>
        <w:spacing w:before="0" w:after="0" w:line="240" w:lineRule="auto"/>
        <w:rPr>
          <w:rFonts w:cs="Arial"/>
        </w:rPr>
      </w:pPr>
      <w:bookmarkStart w:id="119" w:name="_Toc114152229"/>
      <w:r w:rsidRPr="00102605">
        <w:rPr>
          <w:rFonts w:cs="Arial"/>
        </w:rPr>
        <w:t xml:space="preserve">Annex </w:t>
      </w:r>
      <w:r>
        <w:rPr>
          <w:rFonts w:cs="Arial"/>
        </w:rPr>
        <w:t>6</w:t>
      </w:r>
      <w:r w:rsidRPr="00102605">
        <w:rPr>
          <w:rFonts w:cs="Arial"/>
        </w:rPr>
        <w:t xml:space="preserve"> – </w:t>
      </w:r>
      <w:r>
        <w:rPr>
          <w:rFonts w:cs="Arial"/>
        </w:rPr>
        <w:t>Safeguard S06 – Ethnic groups and Cultural Diversity</w:t>
      </w:r>
      <w:bookmarkEnd w:id="119"/>
      <w:r>
        <w:rPr>
          <w:rFonts w:cs="Arial"/>
        </w:rPr>
        <w:t xml:space="preserve"> </w:t>
      </w:r>
    </w:p>
    <w:p w14:paraId="2FAA1E43" w14:textId="0BE8C121" w:rsidR="002B4C2F" w:rsidRPr="005436E2" w:rsidRDefault="002B4C2F" w:rsidP="005436E2">
      <w:pPr>
        <w:spacing w:after="0" w:line="240" w:lineRule="auto"/>
      </w:pPr>
    </w:p>
    <w:p w14:paraId="0DFDD6E5" w14:textId="77777777" w:rsidR="005436E2" w:rsidRPr="005436E2" w:rsidRDefault="005436E2" w:rsidP="005436E2">
      <w:pPr>
        <w:spacing w:after="0" w:line="240" w:lineRule="auto"/>
        <w:rPr>
          <w:rFonts w:cs="Arial"/>
          <w:lang w:val="en-US"/>
        </w:rPr>
      </w:pPr>
      <w:r w:rsidRPr="005436E2">
        <w:rPr>
          <w:rFonts w:cs="Arial"/>
          <w:lang w:val="en-US"/>
        </w:rPr>
        <w:t>CAFs Environmental and Social Safeguards have a safeguard activation tool, which consists of a questionnaire, which must be answered for each case. When any of the questions in the questionnaire is answered in the affirmative, the Safeguard is activated, and consequently must be applied.</w:t>
      </w:r>
    </w:p>
    <w:p w14:paraId="5E29CEA7" w14:textId="77777777" w:rsidR="005436E2" w:rsidRPr="00F606EF" w:rsidRDefault="005436E2" w:rsidP="005436E2">
      <w:pPr>
        <w:spacing w:after="0" w:line="240" w:lineRule="auto"/>
        <w:rPr>
          <w:rFonts w:cs="Arial"/>
          <w:lang w:val="en-US"/>
        </w:rPr>
      </w:pPr>
    </w:p>
    <w:p w14:paraId="04E9D71B" w14:textId="77777777" w:rsidR="005436E2" w:rsidRPr="007C1730" w:rsidRDefault="005436E2" w:rsidP="005436E2">
      <w:pPr>
        <w:spacing w:after="0" w:line="240" w:lineRule="auto"/>
        <w:rPr>
          <w:rFonts w:cs="Arial"/>
          <w:b/>
          <w:bCs/>
          <w:lang w:val="en-US"/>
        </w:rPr>
      </w:pPr>
      <w:r w:rsidRPr="007C1730">
        <w:rPr>
          <w:rFonts w:cs="Arial"/>
          <w:b/>
          <w:bCs/>
          <w:lang w:val="en-US"/>
        </w:rPr>
        <w:t>Summary</w:t>
      </w:r>
    </w:p>
    <w:p w14:paraId="19EDD2A5" w14:textId="77777777" w:rsidR="005436E2" w:rsidRPr="00DA1875" w:rsidRDefault="005436E2" w:rsidP="005436E2">
      <w:pPr>
        <w:spacing w:after="0" w:line="240" w:lineRule="auto"/>
        <w:rPr>
          <w:rFonts w:cs="Arial"/>
          <w:lang w:val="en-US"/>
        </w:rPr>
      </w:pPr>
    </w:p>
    <w:p w14:paraId="53B6C162" w14:textId="77777777" w:rsidR="005436E2" w:rsidRPr="00DA1875" w:rsidRDefault="005436E2" w:rsidP="005436E2">
      <w:pPr>
        <w:spacing w:after="0" w:line="240" w:lineRule="auto"/>
        <w:rPr>
          <w:rFonts w:cs="Arial"/>
          <w:lang w:val="en-US" w:eastAsia="es-ES"/>
        </w:rPr>
      </w:pPr>
      <w:r w:rsidRPr="00DA1875">
        <w:rPr>
          <w:rFonts w:cs="Arial"/>
          <w:lang w:val="en-US" w:eastAsia="es-ES"/>
        </w:rPr>
        <w:t xml:space="preserve">CAF acknowledges the importance of human cultural diversity in the region and watches over its preservation and strengthening. In that context, for cases of projects with ethnic groups or important sacred sites in its area of influence, CAF requires the preparation of a specific Plan for said group, </w:t>
      </w:r>
      <w:proofErr w:type="gramStart"/>
      <w:r w:rsidRPr="00DA1875">
        <w:rPr>
          <w:rFonts w:cs="Arial"/>
          <w:lang w:val="en-US" w:eastAsia="es-ES"/>
        </w:rPr>
        <w:t>in order to</w:t>
      </w:r>
      <w:proofErr w:type="gramEnd"/>
      <w:r w:rsidRPr="00DA1875">
        <w:rPr>
          <w:rFonts w:cs="Arial"/>
          <w:lang w:val="en-US" w:eastAsia="es-ES"/>
        </w:rPr>
        <w:t xml:space="preserve"> safeguard its physical, territorial, social, cultural, and economic integrity; CAF also requires that the operation ensures a consultation and participation process that is free and informed, to provide benefits that are culturally appropriate. </w:t>
      </w:r>
    </w:p>
    <w:p w14:paraId="2525A458" w14:textId="77777777" w:rsidR="005436E2" w:rsidRPr="00DA1875" w:rsidRDefault="005436E2" w:rsidP="005436E2">
      <w:pPr>
        <w:spacing w:after="0" w:line="240" w:lineRule="auto"/>
        <w:rPr>
          <w:rFonts w:cs="Arial"/>
          <w:lang w:val="en-US" w:eastAsia="es-ES"/>
        </w:rPr>
      </w:pPr>
    </w:p>
    <w:p w14:paraId="301E9258" w14:textId="77777777" w:rsidR="005436E2" w:rsidRPr="00DA1875" w:rsidRDefault="005436E2" w:rsidP="005436E2">
      <w:pPr>
        <w:spacing w:after="0" w:line="240" w:lineRule="auto"/>
        <w:rPr>
          <w:rFonts w:cs="Arial"/>
          <w:b/>
          <w:bCs/>
          <w:lang w:val="en-US" w:eastAsia="es-ES"/>
        </w:rPr>
      </w:pPr>
      <w:r w:rsidRPr="00DA1875">
        <w:rPr>
          <w:rFonts w:cs="Arial"/>
          <w:b/>
          <w:bCs/>
          <w:lang w:val="en-US" w:eastAsia="es-ES"/>
        </w:rPr>
        <w:t>Activation conditions</w:t>
      </w:r>
    </w:p>
    <w:p w14:paraId="1FE113A9" w14:textId="77777777" w:rsidR="005436E2" w:rsidRPr="00DA1875" w:rsidRDefault="005436E2" w:rsidP="005436E2">
      <w:pPr>
        <w:spacing w:after="0" w:line="240" w:lineRule="auto"/>
        <w:rPr>
          <w:rFonts w:cs="Arial"/>
          <w:lang w:val="en-US" w:eastAsia="es-ES"/>
        </w:rPr>
      </w:pPr>
    </w:p>
    <w:p w14:paraId="18BBFE22" w14:textId="77777777" w:rsidR="005436E2" w:rsidRPr="00DA1875" w:rsidRDefault="005436E2" w:rsidP="005436E2">
      <w:pPr>
        <w:spacing w:after="0" w:line="240" w:lineRule="auto"/>
        <w:rPr>
          <w:rFonts w:cs="Arial"/>
          <w:lang w:val="en-US" w:eastAsia="es-ES"/>
        </w:rPr>
      </w:pPr>
      <w:r w:rsidRPr="00DA1875">
        <w:rPr>
          <w:rFonts w:cs="Arial"/>
          <w:lang w:val="en-US" w:eastAsia="es-ES"/>
        </w:rPr>
        <w:t xml:space="preserve">For the activation of this Safeguard, the following questions must be answered: </w:t>
      </w:r>
    </w:p>
    <w:p w14:paraId="7F11199E" w14:textId="77777777" w:rsidR="005436E2" w:rsidRPr="00DA1875" w:rsidRDefault="005436E2" w:rsidP="005436E2">
      <w:pPr>
        <w:spacing w:after="0" w:line="240" w:lineRule="auto"/>
        <w:rPr>
          <w:rFonts w:cs="Arial"/>
          <w:lang w:val="en-US" w:eastAsia="es-ES"/>
        </w:rPr>
      </w:pPr>
    </w:p>
    <w:tbl>
      <w:tblPr>
        <w:tblStyle w:val="Tablaconcuadrcula"/>
        <w:tblW w:w="9351" w:type="dxa"/>
        <w:tblLook w:val="04A0" w:firstRow="1" w:lastRow="0" w:firstColumn="1" w:lastColumn="0" w:noHBand="0" w:noVBand="1"/>
      </w:tblPr>
      <w:tblGrid>
        <w:gridCol w:w="7933"/>
        <w:gridCol w:w="709"/>
        <w:gridCol w:w="709"/>
      </w:tblGrid>
      <w:tr w:rsidR="00860468" w:rsidRPr="00DA1875" w14:paraId="5599DA95" w14:textId="77777777" w:rsidTr="005436E2">
        <w:tc>
          <w:tcPr>
            <w:tcW w:w="7933" w:type="dxa"/>
            <w:tcBorders>
              <w:top w:val="single" w:sz="4" w:space="0" w:color="auto"/>
              <w:left w:val="single" w:sz="4" w:space="0" w:color="auto"/>
              <w:bottom w:val="single" w:sz="4" w:space="0" w:color="auto"/>
              <w:right w:val="single" w:sz="4" w:space="0" w:color="auto"/>
            </w:tcBorders>
            <w:hideMark/>
          </w:tcPr>
          <w:p w14:paraId="4E10B63D" w14:textId="77777777" w:rsidR="005436E2" w:rsidRPr="00DA1875" w:rsidRDefault="005436E2" w:rsidP="005436E2">
            <w:pPr>
              <w:jc w:val="center"/>
              <w:rPr>
                <w:rFonts w:cs="Arial"/>
                <w:b/>
                <w:lang w:val="en-US"/>
              </w:rPr>
            </w:pPr>
            <w:r w:rsidRPr="00DA1875">
              <w:rPr>
                <w:rFonts w:cs="Arial"/>
                <w:b/>
                <w:lang w:val="en-US"/>
              </w:rPr>
              <w:t>Criterion</w:t>
            </w:r>
          </w:p>
        </w:tc>
        <w:tc>
          <w:tcPr>
            <w:tcW w:w="709" w:type="dxa"/>
            <w:tcBorders>
              <w:top w:val="single" w:sz="4" w:space="0" w:color="auto"/>
              <w:left w:val="single" w:sz="4" w:space="0" w:color="auto"/>
              <w:bottom w:val="single" w:sz="4" w:space="0" w:color="auto"/>
              <w:right w:val="single" w:sz="4" w:space="0" w:color="auto"/>
            </w:tcBorders>
            <w:hideMark/>
          </w:tcPr>
          <w:p w14:paraId="722C151A" w14:textId="77777777" w:rsidR="005436E2" w:rsidRPr="00DA1875" w:rsidRDefault="005436E2" w:rsidP="005436E2">
            <w:pPr>
              <w:jc w:val="center"/>
              <w:rPr>
                <w:rFonts w:cs="Arial"/>
                <w:b/>
                <w:lang w:val="en-US"/>
              </w:rPr>
            </w:pPr>
            <w:r w:rsidRPr="00DA1875">
              <w:rPr>
                <w:rFonts w:cs="Arial"/>
                <w:b/>
                <w:lang w:val="en-US"/>
              </w:rPr>
              <w:t>YES</w:t>
            </w:r>
          </w:p>
        </w:tc>
        <w:tc>
          <w:tcPr>
            <w:tcW w:w="709" w:type="dxa"/>
            <w:tcBorders>
              <w:top w:val="single" w:sz="4" w:space="0" w:color="auto"/>
              <w:left w:val="single" w:sz="4" w:space="0" w:color="auto"/>
              <w:bottom w:val="single" w:sz="4" w:space="0" w:color="auto"/>
              <w:right w:val="single" w:sz="4" w:space="0" w:color="auto"/>
            </w:tcBorders>
            <w:hideMark/>
          </w:tcPr>
          <w:p w14:paraId="20328992" w14:textId="77777777" w:rsidR="005436E2" w:rsidRPr="00DA1875" w:rsidRDefault="005436E2" w:rsidP="005436E2">
            <w:pPr>
              <w:jc w:val="center"/>
              <w:rPr>
                <w:rFonts w:cs="Arial"/>
                <w:b/>
                <w:lang w:val="en-US"/>
              </w:rPr>
            </w:pPr>
            <w:r w:rsidRPr="00DA1875">
              <w:rPr>
                <w:rFonts w:cs="Arial"/>
                <w:b/>
                <w:lang w:val="en-US"/>
              </w:rPr>
              <w:t>NO</w:t>
            </w:r>
          </w:p>
        </w:tc>
      </w:tr>
      <w:tr w:rsidR="00860468" w:rsidRPr="00DA1875" w14:paraId="567749AC" w14:textId="77777777" w:rsidTr="005436E2">
        <w:tc>
          <w:tcPr>
            <w:tcW w:w="7933" w:type="dxa"/>
            <w:tcBorders>
              <w:top w:val="single" w:sz="4" w:space="0" w:color="auto"/>
              <w:left w:val="single" w:sz="4" w:space="0" w:color="auto"/>
              <w:bottom w:val="single" w:sz="4" w:space="0" w:color="auto"/>
              <w:right w:val="single" w:sz="4" w:space="0" w:color="auto"/>
            </w:tcBorders>
            <w:hideMark/>
          </w:tcPr>
          <w:p w14:paraId="6B82B4AF" w14:textId="77777777" w:rsidR="005436E2" w:rsidRPr="00DA1875" w:rsidRDefault="005436E2" w:rsidP="005436E2">
            <w:pPr>
              <w:rPr>
                <w:rFonts w:cs="Arial"/>
                <w:lang w:val="en-US"/>
              </w:rPr>
            </w:pPr>
            <w:r w:rsidRPr="00DA1875">
              <w:rPr>
                <w:rFonts w:cs="Arial"/>
                <w:lang w:val="en-US"/>
              </w:rPr>
              <w:t xml:space="preserve">Does the project have an influence on legally constituted indigenous territories? </w:t>
            </w:r>
          </w:p>
        </w:tc>
        <w:tc>
          <w:tcPr>
            <w:tcW w:w="709" w:type="dxa"/>
            <w:tcBorders>
              <w:top w:val="single" w:sz="4" w:space="0" w:color="auto"/>
              <w:left w:val="single" w:sz="4" w:space="0" w:color="auto"/>
              <w:bottom w:val="single" w:sz="4" w:space="0" w:color="auto"/>
              <w:right w:val="single" w:sz="4" w:space="0" w:color="auto"/>
            </w:tcBorders>
          </w:tcPr>
          <w:p w14:paraId="105A9889" w14:textId="77777777" w:rsidR="005436E2" w:rsidRPr="00DA1875" w:rsidRDefault="005436E2" w:rsidP="005436E2">
            <w:pPr>
              <w:rPr>
                <w:rFonts w:cs="Arial"/>
                <w:lang w:val="en-US" w:eastAsia="es-ES"/>
              </w:rPr>
            </w:pPr>
          </w:p>
        </w:tc>
        <w:tc>
          <w:tcPr>
            <w:tcW w:w="709" w:type="dxa"/>
            <w:tcBorders>
              <w:top w:val="single" w:sz="4" w:space="0" w:color="auto"/>
              <w:left w:val="single" w:sz="4" w:space="0" w:color="auto"/>
              <w:bottom w:val="single" w:sz="4" w:space="0" w:color="auto"/>
              <w:right w:val="single" w:sz="4" w:space="0" w:color="auto"/>
            </w:tcBorders>
          </w:tcPr>
          <w:p w14:paraId="7E9A7617" w14:textId="77777777" w:rsidR="005436E2" w:rsidRPr="00DA1875" w:rsidRDefault="005436E2" w:rsidP="005436E2">
            <w:pPr>
              <w:rPr>
                <w:rFonts w:cs="Arial"/>
                <w:lang w:val="en-US" w:eastAsia="es-ES"/>
              </w:rPr>
            </w:pPr>
          </w:p>
        </w:tc>
      </w:tr>
      <w:tr w:rsidR="00860468" w:rsidRPr="00DA1875" w14:paraId="6CAA9737" w14:textId="77777777" w:rsidTr="005436E2">
        <w:tc>
          <w:tcPr>
            <w:tcW w:w="7933" w:type="dxa"/>
            <w:tcBorders>
              <w:top w:val="single" w:sz="4" w:space="0" w:color="auto"/>
              <w:left w:val="single" w:sz="4" w:space="0" w:color="auto"/>
              <w:bottom w:val="single" w:sz="4" w:space="0" w:color="auto"/>
              <w:right w:val="single" w:sz="4" w:space="0" w:color="auto"/>
            </w:tcBorders>
            <w:hideMark/>
          </w:tcPr>
          <w:p w14:paraId="59A3442F" w14:textId="77777777" w:rsidR="005436E2" w:rsidRPr="00DA1875" w:rsidRDefault="005436E2" w:rsidP="005436E2">
            <w:pPr>
              <w:rPr>
                <w:rFonts w:cs="Arial"/>
                <w:lang w:val="en-US"/>
              </w:rPr>
            </w:pPr>
            <w:r w:rsidRPr="00DA1875">
              <w:rPr>
                <w:rFonts w:cs="Arial"/>
                <w:lang w:val="en-US"/>
              </w:rPr>
              <w:t>Does the project have an influence on indigenous communities?</w:t>
            </w:r>
          </w:p>
        </w:tc>
        <w:tc>
          <w:tcPr>
            <w:tcW w:w="709" w:type="dxa"/>
            <w:tcBorders>
              <w:top w:val="single" w:sz="4" w:space="0" w:color="auto"/>
              <w:left w:val="single" w:sz="4" w:space="0" w:color="auto"/>
              <w:bottom w:val="single" w:sz="4" w:space="0" w:color="auto"/>
              <w:right w:val="single" w:sz="4" w:space="0" w:color="auto"/>
            </w:tcBorders>
          </w:tcPr>
          <w:p w14:paraId="677B9B89" w14:textId="77777777" w:rsidR="005436E2" w:rsidRPr="00DA1875" w:rsidRDefault="005436E2" w:rsidP="005436E2">
            <w:pPr>
              <w:rPr>
                <w:rFonts w:cs="Arial"/>
                <w:lang w:val="en-US" w:eastAsia="es-ES"/>
              </w:rPr>
            </w:pPr>
          </w:p>
        </w:tc>
        <w:tc>
          <w:tcPr>
            <w:tcW w:w="709" w:type="dxa"/>
            <w:tcBorders>
              <w:top w:val="single" w:sz="4" w:space="0" w:color="auto"/>
              <w:left w:val="single" w:sz="4" w:space="0" w:color="auto"/>
              <w:bottom w:val="single" w:sz="4" w:space="0" w:color="auto"/>
              <w:right w:val="single" w:sz="4" w:space="0" w:color="auto"/>
            </w:tcBorders>
          </w:tcPr>
          <w:p w14:paraId="0C0AB628" w14:textId="77777777" w:rsidR="005436E2" w:rsidRPr="00DA1875" w:rsidRDefault="005436E2" w:rsidP="005436E2">
            <w:pPr>
              <w:rPr>
                <w:rFonts w:cs="Arial"/>
                <w:lang w:val="en-US" w:eastAsia="es-ES"/>
              </w:rPr>
            </w:pPr>
          </w:p>
        </w:tc>
      </w:tr>
      <w:tr w:rsidR="00860468" w:rsidRPr="00DA1875" w14:paraId="5803706C" w14:textId="77777777" w:rsidTr="005436E2">
        <w:tc>
          <w:tcPr>
            <w:tcW w:w="7933" w:type="dxa"/>
            <w:tcBorders>
              <w:top w:val="single" w:sz="4" w:space="0" w:color="auto"/>
              <w:left w:val="single" w:sz="4" w:space="0" w:color="auto"/>
              <w:bottom w:val="single" w:sz="4" w:space="0" w:color="auto"/>
              <w:right w:val="single" w:sz="4" w:space="0" w:color="auto"/>
            </w:tcBorders>
            <w:hideMark/>
          </w:tcPr>
          <w:p w14:paraId="5F5AFF44" w14:textId="77777777" w:rsidR="005436E2" w:rsidRPr="00DA1875" w:rsidRDefault="005436E2" w:rsidP="005436E2">
            <w:pPr>
              <w:rPr>
                <w:rFonts w:cs="Arial"/>
                <w:lang w:val="en-US"/>
              </w:rPr>
            </w:pPr>
            <w:r w:rsidRPr="00DA1875">
              <w:rPr>
                <w:rFonts w:cs="Arial"/>
                <w:lang w:val="en-US"/>
              </w:rPr>
              <w:t xml:space="preserve">Does the project directly affect indigenous families? </w:t>
            </w:r>
          </w:p>
        </w:tc>
        <w:tc>
          <w:tcPr>
            <w:tcW w:w="709" w:type="dxa"/>
            <w:tcBorders>
              <w:top w:val="single" w:sz="4" w:space="0" w:color="auto"/>
              <w:left w:val="single" w:sz="4" w:space="0" w:color="auto"/>
              <w:bottom w:val="single" w:sz="4" w:space="0" w:color="auto"/>
              <w:right w:val="single" w:sz="4" w:space="0" w:color="auto"/>
            </w:tcBorders>
          </w:tcPr>
          <w:p w14:paraId="40FFBDA7" w14:textId="77777777" w:rsidR="005436E2" w:rsidRPr="00DA1875" w:rsidRDefault="005436E2" w:rsidP="005436E2">
            <w:pPr>
              <w:rPr>
                <w:rFonts w:cs="Arial"/>
                <w:lang w:val="en-US" w:eastAsia="es-ES"/>
              </w:rPr>
            </w:pPr>
          </w:p>
        </w:tc>
        <w:tc>
          <w:tcPr>
            <w:tcW w:w="709" w:type="dxa"/>
            <w:tcBorders>
              <w:top w:val="single" w:sz="4" w:space="0" w:color="auto"/>
              <w:left w:val="single" w:sz="4" w:space="0" w:color="auto"/>
              <w:bottom w:val="single" w:sz="4" w:space="0" w:color="auto"/>
              <w:right w:val="single" w:sz="4" w:space="0" w:color="auto"/>
            </w:tcBorders>
          </w:tcPr>
          <w:p w14:paraId="2E1B835D" w14:textId="77777777" w:rsidR="005436E2" w:rsidRPr="00DA1875" w:rsidRDefault="005436E2" w:rsidP="005436E2">
            <w:pPr>
              <w:rPr>
                <w:rFonts w:cs="Arial"/>
                <w:lang w:val="en-US" w:eastAsia="es-ES"/>
              </w:rPr>
            </w:pPr>
          </w:p>
        </w:tc>
      </w:tr>
      <w:tr w:rsidR="00860468" w:rsidRPr="00DA1875" w14:paraId="4BAD7A0B" w14:textId="77777777" w:rsidTr="005436E2">
        <w:tc>
          <w:tcPr>
            <w:tcW w:w="7933" w:type="dxa"/>
            <w:tcBorders>
              <w:top w:val="single" w:sz="4" w:space="0" w:color="auto"/>
              <w:left w:val="single" w:sz="4" w:space="0" w:color="auto"/>
              <w:bottom w:val="single" w:sz="4" w:space="0" w:color="auto"/>
              <w:right w:val="single" w:sz="4" w:space="0" w:color="auto"/>
            </w:tcBorders>
            <w:hideMark/>
          </w:tcPr>
          <w:p w14:paraId="2D6892E9" w14:textId="77777777" w:rsidR="005436E2" w:rsidRPr="00DA1875" w:rsidRDefault="005436E2" w:rsidP="005436E2">
            <w:pPr>
              <w:rPr>
                <w:rFonts w:cs="Arial"/>
                <w:lang w:val="en-US"/>
              </w:rPr>
            </w:pPr>
            <w:proofErr w:type="gramStart"/>
            <w:r w:rsidRPr="00DA1875">
              <w:rPr>
                <w:rFonts w:cs="Arial"/>
                <w:lang w:val="en-US"/>
              </w:rPr>
              <w:t>Does</w:t>
            </w:r>
            <w:proofErr w:type="gramEnd"/>
            <w:r w:rsidRPr="00DA1875">
              <w:rPr>
                <w:rFonts w:cs="Arial"/>
                <w:lang w:val="en-US"/>
              </w:rPr>
              <w:t xml:space="preserve"> the project affect areas normally used for indigenous people to hunt, fish, or gather food? </w:t>
            </w:r>
          </w:p>
        </w:tc>
        <w:tc>
          <w:tcPr>
            <w:tcW w:w="709" w:type="dxa"/>
            <w:tcBorders>
              <w:top w:val="single" w:sz="4" w:space="0" w:color="auto"/>
              <w:left w:val="single" w:sz="4" w:space="0" w:color="auto"/>
              <w:bottom w:val="single" w:sz="4" w:space="0" w:color="auto"/>
              <w:right w:val="single" w:sz="4" w:space="0" w:color="auto"/>
            </w:tcBorders>
          </w:tcPr>
          <w:p w14:paraId="1FD8CA97" w14:textId="77777777" w:rsidR="005436E2" w:rsidRPr="00DA1875" w:rsidRDefault="005436E2" w:rsidP="005436E2">
            <w:pPr>
              <w:rPr>
                <w:rFonts w:cs="Arial"/>
                <w:lang w:val="en-US" w:eastAsia="es-ES"/>
              </w:rPr>
            </w:pPr>
          </w:p>
        </w:tc>
        <w:tc>
          <w:tcPr>
            <w:tcW w:w="709" w:type="dxa"/>
            <w:tcBorders>
              <w:top w:val="single" w:sz="4" w:space="0" w:color="auto"/>
              <w:left w:val="single" w:sz="4" w:space="0" w:color="auto"/>
              <w:bottom w:val="single" w:sz="4" w:space="0" w:color="auto"/>
              <w:right w:val="single" w:sz="4" w:space="0" w:color="auto"/>
            </w:tcBorders>
          </w:tcPr>
          <w:p w14:paraId="5AE0C371" w14:textId="77777777" w:rsidR="005436E2" w:rsidRPr="00DA1875" w:rsidRDefault="005436E2" w:rsidP="005436E2">
            <w:pPr>
              <w:rPr>
                <w:rFonts w:cs="Arial"/>
                <w:lang w:val="en-US" w:eastAsia="es-ES"/>
              </w:rPr>
            </w:pPr>
          </w:p>
        </w:tc>
      </w:tr>
    </w:tbl>
    <w:p w14:paraId="2B6DD97B" w14:textId="77777777" w:rsidR="005436E2" w:rsidRPr="00DA1875" w:rsidRDefault="005436E2" w:rsidP="005436E2">
      <w:pPr>
        <w:spacing w:after="0" w:line="240" w:lineRule="auto"/>
        <w:rPr>
          <w:rFonts w:cs="Arial"/>
          <w:lang w:val="en-US" w:eastAsia="es-ES"/>
        </w:rPr>
      </w:pPr>
    </w:p>
    <w:p w14:paraId="303D06BF" w14:textId="77777777" w:rsidR="005436E2" w:rsidRPr="00DA1875" w:rsidRDefault="005436E2" w:rsidP="005436E2">
      <w:pPr>
        <w:spacing w:after="0" w:line="240" w:lineRule="auto"/>
        <w:rPr>
          <w:rFonts w:cs="Arial"/>
          <w:lang w:val="en-US" w:eastAsia="es-ES"/>
        </w:rPr>
      </w:pPr>
      <w:r w:rsidRPr="00DA1875">
        <w:rPr>
          <w:rFonts w:cs="Arial"/>
          <w:lang w:val="en-US"/>
        </w:rPr>
        <w:t xml:space="preserve">The safeguard is applicable if the response is positive for one or several of the above questions. </w:t>
      </w:r>
      <w:r w:rsidRPr="00DA1875">
        <w:rPr>
          <w:rFonts w:cs="Arial"/>
          <w:lang w:val="en-US" w:eastAsia="es-ES"/>
        </w:rPr>
        <w:t>If the safeguard is applicable, the client is asked to include in the project's social and environmental evaluation the relevant detailed analysis established in the corresponding safeguard.</w:t>
      </w:r>
    </w:p>
    <w:p w14:paraId="303896AB" w14:textId="77777777" w:rsidR="005436E2" w:rsidRPr="00DA1875" w:rsidRDefault="005436E2" w:rsidP="005436E2">
      <w:pPr>
        <w:spacing w:after="0" w:line="240" w:lineRule="auto"/>
        <w:rPr>
          <w:rFonts w:cs="Arial"/>
          <w:lang w:val="en-US" w:eastAsia="es-ES"/>
        </w:rPr>
      </w:pPr>
    </w:p>
    <w:p w14:paraId="05F8EA54" w14:textId="6E8A6D34" w:rsidR="005436E2" w:rsidRPr="005436E2" w:rsidRDefault="005436E2" w:rsidP="005436E2">
      <w:pPr>
        <w:spacing w:after="0" w:line="240" w:lineRule="auto"/>
        <w:rPr>
          <w:rFonts w:cs="Arial"/>
          <w:lang w:val="en-US" w:eastAsia="es-ES"/>
        </w:rPr>
      </w:pPr>
      <w:r w:rsidRPr="00DA1875">
        <w:rPr>
          <w:rFonts w:cs="Arial"/>
          <w:lang w:val="en-US" w:eastAsia="es-ES"/>
        </w:rPr>
        <w:t>Below is the complete S06 – Ethnic groups, which will be implemented if activated</w:t>
      </w:r>
      <w:r>
        <w:rPr>
          <w:rFonts w:cs="Arial"/>
          <w:lang w:val="en-US" w:eastAsia="es-ES"/>
        </w:rPr>
        <w:t>.</w:t>
      </w:r>
      <w:r w:rsidRPr="005436E2">
        <w:rPr>
          <w:rFonts w:cs="Arial"/>
          <w:lang w:val="en-US" w:eastAsia="es-ES"/>
        </w:rPr>
        <w:br w:type="page"/>
      </w:r>
    </w:p>
    <w:p w14:paraId="3DDA92EC" w14:textId="08A4886D" w:rsidR="005436E2" w:rsidRPr="005436E2" w:rsidRDefault="005436E2" w:rsidP="005436E2">
      <w:pPr>
        <w:pStyle w:val="Ttulo"/>
        <w:jc w:val="left"/>
        <w:rPr>
          <w:rFonts w:ascii="Arial" w:hAnsi="Arial" w:cs="Arial"/>
          <w:szCs w:val="20"/>
          <w:lang w:val="en-US"/>
        </w:rPr>
      </w:pPr>
      <w:bookmarkStart w:id="120" w:name="_Toc476299573"/>
      <w:r w:rsidRPr="005436E2">
        <w:rPr>
          <w:rFonts w:ascii="Arial" w:hAnsi="Arial" w:cs="Arial"/>
          <w:sz w:val="32"/>
          <w:szCs w:val="32"/>
          <w:lang w:val="en-US"/>
        </w:rPr>
        <w:t xml:space="preserve">SAFEGUARD S06 ETHNIC GROUPS AND CULTURAL DIVERSITY </w:t>
      </w:r>
      <w:bookmarkEnd w:id="120"/>
    </w:p>
    <w:p w14:paraId="05433E81" w14:textId="77777777" w:rsidR="005436E2" w:rsidRPr="005436E2" w:rsidRDefault="005436E2" w:rsidP="005436E2">
      <w:pPr>
        <w:spacing w:after="0" w:line="240" w:lineRule="auto"/>
        <w:rPr>
          <w:rFonts w:cs="Arial"/>
          <w:lang w:val="en-US"/>
        </w:rPr>
      </w:pPr>
    </w:p>
    <w:p w14:paraId="7FC19B5F" w14:textId="6986B3BD" w:rsidR="005436E2" w:rsidRPr="005436E2" w:rsidRDefault="005436E2" w:rsidP="005436E2">
      <w:pPr>
        <w:pStyle w:val="Ttulo1"/>
        <w:tabs>
          <w:tab w:val="num" w:pos="0"/>
        </w:tabs>
        <w:spacing w:before="0" w:after="0" w:line="240" w:lineRule="auto"/>
        <w:rPr>
          <w:rFonts w:cs="Arial"/>
          <w:lang w:val="en-US"/>
        </w:rPr>
      </w:pPr>
      <w:bookmarkStart w:id="121" w:name="_Toc109751741"/>
      <w:bookmarkStart w:id="122" w:name="_Toc114079879"/>
      <w:bookmarkStart w:id="123" w:name="_Toc114152230"/>
      <w:bookmarkStart w:id="124" w:name="_Toc476299574"/>
      <w:r w:rsidRPr="005436E2">
        <w:rPr>
          <w:rFonts w:cs="Arial"/>
          <w:lang w:val="en-US"/>
        </w:rPr>
        <w:t>Introduction</w:t>
      </w:r>
      <w:bookmarkEnd w:id="121"/>
      <w:bookmarkEnd w:id="122"/>
      <w:bookmarkEnd w:id="123"/>
      <w:r w:rsidRPr="005436E2">
        <w:rPr>
          <w:rFonts w:cs="Arial"/>
          <w:lang w:val="en-US"/>
        </w:rPr>
        <w:t xml:space="preserve"> </w:t>
      </w:r>
      <w:bookmarkEnd w:id="124"/>
    </w:p>
    <w:p w14:paraId="41729AC6" w14:textId="77777777" w:rsidR="005436E2" w:rsidRPr="005436E2" w:rsidRDefault="005436E2" w:rsidP="005436E2">
      <w:pPr>
        <w:spacing w:after="0" w:line="240" w:lineRule="auto"/>
        <w:rPr>
          <w:rFonts w:cs="Arial"/>
          <w:lang w:val="en-US"/>
        </w:rPr>
      </w:pPr>
    </w:p>
    <w:p w14:paraId="64A88328" w14:textId="77777777" w:rsidR="005436E2" w:rsidRPr="005436E2" w:rsidRDefault="005436E2" w:rsidP="005436E2">
      <w:pPr>
        <w:spacing w:after="0" w:line="240" w:lineRule="auto"/>
        <w:rPr>
          <w:rFonts w:cs="Arial"/>
          <w:lang w:val="en-US"/>
        </w:rPr>
      </w:pPr>
      <w:r w:rsidRPr="005436E2">
        <w:rPr>
          <w:rFonts w:cs="Arial"/>
          <w:lang w:val="en-US"/>
        </w:rPr>
        <w:t xml:space="preserve">Human cultural diversity constitutes a heritage of knowledge, creativity, practices, and customs that humanity has developed over millenniums of processes to adapt to the different ecosystems of the planet. Cultural diversity represents a wealth for humanity, as it provides alternatives, possibilities, and other forms of thought necessary to face the challenges of achieving sustainable development in a context of climate change and the construction of a globalized society.   </w:t>
      </w:r>
    </w:p>
    <w:p w14:paraId="2FBC7E95" w14:textId="77777777" w:rsidR="005436E2" w:rsidRPr="005436E2" w:rsidRDefault="005436E2" w:rsidP="005436E2">
      <w:pPr>
        <w:spacing w:after="0" w:line="240" w:lineRule="auto"/>
        <w:rPr>
          <w:rFonts w:cs="Arial"/>
          <w:lang w:val="en-US"/>
        </w:rPr>
      </w:pPr>
    </w:p>
    <w:p w14:paraId="6D50E6EE" w14:textId="77777777" w:rsidR="005436E2" w:rsidRPr="005436E2" w:rsidRDefault="005436E2" w:rsidP="005436E2">
      <w:pPr>
        <w:spacing w:after="0" w:line="240" w:lineRule="auto"/>
        <w:rPr>
          <w:rFonts w:cs="Arial"/>
          <w:lang w:val="en-US"/>
        </w:rPr>
      </w:pPr>
      <w:r w:rsidRPr="005436E2">
        <w:rPr>
          <w:rFonts w:cs="Arial"/>
          <w:lang w:val="en-US"/>
        </w:rPr>
        <w:t xml:space="preserve">Ethnic groups, among which in Latin America stand out the indigenous peoples and Afro-American communities, represent that cultural diversity. </w:t>
      </w:r>
    </w:p>
    <w:p w14:paraId="53B81944" w14:textId="77777777" w:rsidR="005436E2" w:rsidRPr="00F606EF" w:rsidRDefault="005436E2" w:rsidP="005436E2">
      <w:pPr>
        <w:spacing w:after="0" w:line="240" w:lineRule="auto"/>
        <w:rPr>
          <w:rFonts w:cs="Arial"/>
          <w:lang w:val="en-US"/>
        </w:rPr>
      </w:pPr>
    </w:p>
    <w:p w14:paraId="58AE399E" w14:textId="77777777" w:rsidR="005436E2" w:rsidRPr="00DA1875" w:rsidRDefault="005436E2" w:rsidP="005436E2">
      <w:pPr>
        <w:spacing w:after="0" w:line="240" w:lineRule="auto"/>
        <w:rPr>
          <w:rFonts w:cs="Arial"/>
          <w:lang w:val="en-US"/>
        </w:rPr>
      </w:pPr>
      <w:r w:rsidRPr="007C1730">
        <w:rPr>
          <w:rFonts w:cs="Arial"/>
          <w:lang w:val="en-US"/>
        </w:rPr>
        <w:t xml:space="preserve">Indigenous </w:t>
      </w:r>
      <w:proofErr w:type="gramStart"/>
      <w:r w:rsidRPr="007C1730">
        <w:rPr>
          <w:rFonts w:cs="Arial"/>
          <w:lang w:val="en-US"/>
        </w:rPr>
        <w:t>peoples</w:t>
      </w:r>
      <w:proofErr w:type="gramEnd"/>
      <w:r w:rsidRPr="007C1730">
        <w:rPr>
          <w:rFonts w:cs="Arial"/>
          <w:lang w:val="en-US"/>
        </w:rPr>
        <w:t xml:space="preserve"> hiver ancestral origins and have developed a deep knowledge of nature, and a spiritual development that has enabled them to establish harmonious relations with the ecosystems where they live. They are socially and culturally different to majority societies, with close links with the territories they inhabit and the resources they use, which are intrinsically related to their </w:t>
      </w:r>
      <w:r w:rsidRPr="00DA1875">
        <w:rPr>
          <w:rFonts w:cs="Arial"/>
          <w:lang w:val="en-US"/>
        </w:rPr>
        <w:t xml:space="preserve">culture and identity. If anything affects their territories, resources, or the links they have with them, their cultural survival may be threatened. </w:t>
      </w:r>
    </w:p>
    <w:p w14:paraId="2EE53C2A" w14:textId="77777777" w:rsidR="005436E2" w:rsidRPr="00DA1875" w:rsidRDefault="005436E2" w:rsidP="005436E2">
      <w:pPr>
        <w:spacing w:after="0" w:line="240" w:lineRule="auto"/>
        <w:rPr>
          <w:rFonts w:cs="Arial"/>
          <w:lang w:val="en-US"/>
        </w:rPr>
      </w:pPr>
    </w:p>
    <w:p w14:paraId="2B41E1F7" w14:textId="77777777" w:rsidR="005436E2" w:rsidRPr="00DA1875" w:rsidRDefault="005436E2" w:rsidP="005436E2">
      <w:pPr>
        <w:spacing w:after="0" w:line="240" w:lineRule="auto"/>
        <w:rPr>
          <w:rFonts w:cs="Arial"/>
          <w:lang w:val="en-US"/>
        </w:rPr>
      </w:pPr>
      <w:r w:rsidRPr="00DA1875">
        <w:rPr>
          <w:rFonts w:cs="Arial"/>
          <w:lang w:val="en-US"/>
        </w:rPr>
        <w:t xml:space="preserve">The conquest and colonization processes in Latin America significantly decimated the indigenous population, and imposed a different society which became dominant, changing them to minority groups that are generally excluded and marginalized, without mechanisms to participate in decision making processes that may affect them. For these reasons, and because of the meaning that the territory and the resources have for them, they are more vulnerable to impacts resulting from development projects of the majority society than other population groups. This majority society may threaten their identity, culture, and means of subsistence, and expose them to factors that increase their morbidity and mortality. In other cases, these groups are excluded from the benefits of the projects, or if they receive benefits, they may not be culturally appropriate, which may cause them more harm than good.  </w:t>
      </w:r>
    </w:p>
    <w:p w14:paraId="198677E1" w14:textId="77777777" w:rsidR="005436E2" w:rsidRPr="00DA1875" w:rsidRDefault="005436E2" w:rsidP="005436E2">
      <w:pPr>
        <w:spacing w:after="0" w:line="240" w:lineRule="auto"/>
        <w:rPr>
          <w:rFonts w:cs="Arial"/>
          <w:lang w:val="en-US"/>
        </w:rPr>
      </w:pPr>
    </w:p>
    <w:p w14:paraId="56B1C096" w14:textId="77777777" w:rsidR="005436E2" w:rsidRPr="00DA1875" w:rsidRDefault="005436E2" w:rsidP="005436E2">
      <w:pPr>
        <w:spacing w:after="0" w:line="240" w:lineRule="auto"/>
        <w:rPr>
          <w:rFonts w:cs="Arial"/>
          <w:lang w:val="en-US"/>
        </w:rPr>
      </w:pPr>
      <w:r w:rsidRPr="00DA1875">
        <w:rPr>
          <w:rFonts w:cs="Arial"/>
          <w:lang w:val="en-US"/>
        </w:rPr>
        <w:t xml:space="preserve">The negative impacts on indigenous peoples not only affect them, but all of humanity, as they lead to a loss of ancestral knowledge regarding nature, ecosystems, and specific resources, as well as the adequate forms to relate to them. A large part of the planet's biodiversity is found in indigenous </w:t>
      </w:r>
      <w:proofErr w:type="gramStart"/>
      <w:r w:rsidRPr="00DA1875">
        <w:rPr>
          <w:rFonts w:cs="Arial"/>
          <w:lang w:val="en-US"/>
        </w:rPr>
        <w:t>territories, and</w:t>
      </w:r>
      <w:proofErr w:type="gramEnd"/>
      <w:r w:rsidRPr="00DA1875">
        <w:rPr>
          <w:rFonts w:cs="Arial"/>
          <w:lang w:val="en-US"/>
        </w:rPr>
        <w:t xml:space="preserve"> is being cared by indigenous peoples.  </w:t>
      </w:r>
    </w:p>
    <w:p w14:paraId="7C363020" w14:textId="77777777" w:rsidR="005436E2" w:rsidRPr="00DA1875" w:rsidRDefault="005436E2" w:rsidP="005436E2">
      <w:pPr>
        <w:spacing w:after="0" w:line="240" w:lineRule="auto"/>
        <w:rPr>
          <w:rFonts w:cs="Arial"/>
          <w:lang w:val="en-US"/>
        </w:rPr>
      </w:pPr>
    </w:p>
    <w:p w14:paraId="45E14292" w14:textId="77777777" w:rsidR="005436E2" w:rsidRPr="00DA1875" w:rsidRDefault="005436E2" w:rsidP="005436E2">
      <w:pPr>
        <w:spacing w:after="0" w:line="240" w:lineRule="auto"/>
        <w:rPr>
          <w:rFonts w:cs="Arial"/>
          <w:lang w:val="en-US"/>
        </w:rPr>
      </w:pPr>
      <w:r w:rsidRPr="00DA1875">
        <w:rPr>
          <w:rFonts w:cs="Arial"/>
          <w:lang w:val="en-US"/>
        </w:rPr>
        <w:t xml:space="preserve">During the period of colonization, African population was forcibly brought to the Latin American territory to work as slaves. Some of the survivors of this practice ran away and created their own settlements where they recreated their culture. Generally, these groups have no rights over the territories they </w:t>
      </w:r>
      <w:proofErr w:type="gramStart"/>
      <w:r w:rsidRPr="00DA1875">
        <w:rPr>
          <w:rFonts w:cs="Arial"/>
          <w:lang w:val="en-US"/>
        </w:rPr>
        <w:t>occupy, and</w:t>
      </w:r>
      <w:proofErr w:type="gramEnd"/>
      <w:r w:rsidRPr="00DA1875">
        <w:rPr>
          <w:rFonts w:cs="Arial"/>
          <w:lang w:val="en-US"/>
        </w:rPr>
        <w:t xml:space="preserve"> are also excluded and marginalized form the development processes of the majority society. These groups contributed a great cultural heritage to Latin American and Caribbean societies. </w:t>
      </w:r>
    </w:p>
    <w:p w14:paraId="6DC3BA1F" w14:textId="77777777" w:rsidR="005436E2" w:rsidRPr="00DA1875" w:rsidRDefault="005436E2" w:rsidP="005436E2">
      <w:pPr>
        <w:spacing w:after="0" w:line="240" w:lineRule="auto"/>
        <w:rPr>
          <w:rFonts w:cs="Arial"/>
          <w:lang w:val="en-US"/>
        </w:rPr>
      </w:pPr>
    </w:p>
    <w:p w14:paraId="08C8245C" w14:textId="3E9217AF" w:rsidR="005436E2" w:rsidRPr="00DA1875" w:rsidRDefault="005436E2" w:rsidP="005436E2">
      <w:pPr>
        <w:spacing w:after="0" w:line="240" w:lineRule="auto"/>
        <w:rPr>
          <w:rFonts w:cs="Arial"/>
          <w:lang w:val="en-US"/>
        </w:rPr>
      </w:pPr>
      <w:r w:rsidRPr="00DA1875">
        <w:rPr>
          <w:rFonts w:cs="Arial"/>
          <w:lang w:val="en-US"/>
        </w:rPr>
        <w:t xml:space="preserve">For the </w:t>
      </w:r>
      <w:proofErr w:type="gramStart"/>
      <w:r w:rsidRPr="00DA1875">
        <w:rPr>
          <w:rFonts w:cs="Arial"/>
          <w:lang w:val="en-US"/>
        </w:rPr>
        <w:t>above</w:t>
      </w:r>
      <w:r w:rsidR="007E1BD9">
        <w:rPr>
          <w:rFonts w:cs="Arial"/>
          <w:lang w:val="en-US"/>
        </w:rPr>
        <w:t xml:space="preserve"> </w:t>
      </w:r>
      <w:r w:rsidRPr="00DA1875">
        <w:rPr>
          <w:rFonts w:cs="Arial"/>
          <w:lang w:val="en-US"/>
        </w:rPr>
        <w:t>mentioned</w:t>
      </w:r>
      <w:proofErr w:type="gramEnd"/>
      <w:r w:rsidRPr="00DA1875">
        <w:rPr>
          <w:rFonts w:cs="Arial"/>
          <w:lang w:val="en-US"/>
        </w:rPr>
        <w:t xml:space="preserve"> reasons, there are currently different international regulatory development which have provided ethnic groups with legal and institutional mechanisms for protection and development based on self-determination. In Latin America, the States have advanced a gradual process to recognize ethic groups and cultural diversity. </w:t>
      </w:r>
    </w:p>
    <w:p w14:paraId="0127A2E2" w14:textId="77777777" w:rsidR="005436E2" w:rsidRPr="00DA1875" w:rsidRDefault="005436E2" w:rsidP="005436E2">
      <w:pPr>
        <w:spacing w:after="0" w:line="240" w:lineRule="auto"/>
        <w:rPr>
          <w:rFonts w:cs="Arial"/>
          <w:lang w:val="en-US"/>
        </w:rPr>
      </w:pPr>
    </w:p>
    <w:p w14:paraId="68A07A30" w14:textId="0FF76879" w:rsidR="005436E2" w:rsidRPr="00DA1875" w:rsidRDefault="005436E2" w:rsidP="005436E2">
      <w:pPr>
        <w:spacing w:after="0" w:line="240" w:lineRule="auto"/>
        <w:rPr>
          <w:rFonts w:cs="Arial"/>
          <w:lang w:val="en-US"/>
        </w:rPr>
      </w:pPr>
      <w:r w:rsidRPr="00DA1875">
        <w:rPr>
          <w:rFonts w:cs="Arial"/>
          <w:lang w:val="en-US"/>
        </w:rPr>
        <w:t xml:space="preserve">Therefore, it is the responsibility of any organization or entity that develops a project or activity that may affect an ethnic group, to develop actions to avoid negative impacts, to include them in decision making processes that may affect </w:t>
      </w:r>
      <w:r w:rsidR="009D1A70" w:rsidRPr="00DA1875">
        <w:rPr>
          <w:rFonts w:cs="Arial"/>
          <w:lang w:val="en-US"/>
        </w:rPr>
        <w:t>them and</w:t>
      </w:r>
      <w:r w:rsidRPr="00DA1875">
        <w:rPr>
          <w:rFonts w:cs="Arial"/>
          <w:lang w:val="en-US"/>
        </w:rPr>
        <w:t xml:space="preserve"> provide benefits that are culturally appropriate. </w:t>
      </w:r>
    </w:p>
    <w:p w14:paraId="6F7C6538" w14:textId="77777777" w:rsidR="005436E2" w:rsidRPr="00DA1875" w:rsidRDefault="005436E2" w:rsidP="005436E2">
      <w:pPr>
        <w:spacing w:after="0" w:line="240" w:lineRule="auto"/>
        <w:rPr>
          <w:rFonts w:cs="Arial"/>
          <w:lang w:val="en-US"/>
        </w:rPr>
      </w:pPr>
    </w:p>
    <w:p w14:paraId="1243FC39" w14:textId="2746E853" w:rsidR="005436E2" w:rsidRPr="00DA1875" w:rsidRDefault="005436E2" w:rsidP="005436E2">
      <w:pPr>
        <w:pStyle w:val="Ttulo1"/>
        <w:tabs>
          <w:tab w:val="num" w:pos="0"/>
        </w:tabs>
        <w:spacing w:before="0" w:after="0" w:line="240" w:lineRule="auto"/>
        <w:rPr>
          <w:rFonts w:cs="Arial"/>
          <w:lang w:val="en-US"/>
        </w:rPr>
      </w:pPr>
      <w:bookmarkStart w:id="125" w:name="_Toc109751742"/>
      <w:bookmarkStart w:id="126" w:name="_Toc114079880"/>
      <w:bookmarkStart w:id="127" w:name="_Toc114152231"/>
      <w:bookmarkStart w:id="128" w:name="_Toc476299575"/>
      <w:r w:rsidRPr="00DA1875">
        <w:rPr>
          <w:rFonts w:cs="Arial"/>
          <w:lang w:val="en-US"/>
        </w:rPr>
        <w:t>Definitions</w:t>
      </w:r>
      <w:bookmarkEnd w:id="125"/>
      <w:bookmarkEnd w:id="126"/>
      <w:bookmarkEnd w:id="127"/>
      <w:r w:rsidRPr="00DA1875">
        <w:rPr>
          <w:rFonts w:cs="Arial"/>
          <w:lang w:val="en-US"/>
        </w:rPr>
        <w:t xml:space="preserve"> </w:t>
      </w:r>
      <w:bookmarkEnd w:id="128"/>
    </w:p>
    <w:p w14:paraId="552FD951" w14:textId="77777777" w:rsidR="005436E2" w:rsidRPr="00DA1875" w:rsidRDefault="005436E2" w:rsidP="005436E2">
      <w:pPr>
        <w:spacing w:after="0" w:line="240" w:lineRule="auto"/>
        <w:rPr>
          <w:rFonts w:cs="Arial"/>
          <w:lang w:val="en-US" w:eastAsia="es-ES"/>
        </w:rPr>
      </w:pPr>
    </w:p>
    <w:p w14:paraId="27B0E4A0" w14:textId="77777777" w:rsidR="005436E2" w:rsidRPr="005436E2" w:rsidRDefault="005436E2" w:rsidP="005436E2">
      <w:pPr>
        <w:spacing w:after="0" w:line="240" w:lineRule="auto"/>
        <w:rPr>
          <w:rFonts w:cs="Arial"/>
          <w:lang w:val="en-US"/>
        </w:rPr>
      </w:pPr>
      <w:r w:rsidRPr="00DA1875">
        <w:rPr>
          <w:rFonts w:cs="Arial"/>
          <w:i/>
          <w:lang w:val="en-US"/>
        </w:rPr>
        <w:t>Ethnic group,</w:t>
      </w:r>
      <w:r w:rsidRPr="005436E2">
        <w:rPr>
          <w:rStyle w:val="Refdenotaalpie"/>
          <w:rFonts w:cs="Arial"/>
          <w:lang w:val="en-US"/>
        </w:rPr>
        <w:footnoteReference w:id="35"/>
      </w:r>
      <w:r w:rsidRPr="005436E2">
        <w:rPr>
          <w:rFonts w:cs="Arial"/>
          <w:i/>
          <w:lang w:val="en-US"/>
        </w:rPr>
        <w:t xml:space="preserve"> </w:t>
      </w:r>
      <w:r w:rsidRPr="005436E2">
        <w:rPr>
          <w:rFonts w:cs="Arial"/>
          <w:lang w:val="en-US"/>
        </w:rPr>
        <w:t xml:space="preserve">refers to human groups whose social, cultural, and economic conditions distinguish them from other sectors of the national population, and who are totally or partially governed by their own customs or traditions or by a special legislation.    </w:t>
      </w:r>
    </w:p>
    <w:p w14:paraId="483F8CB1" w14:textId="77777777" w:rsidR="005436E2" w:rsidRPr="005436E2" w:rsidRDefault="005436E2" w:rsidP="005436E2">
      <w:pPr>
        <w:spacing w:after="0" w:line="240" w:lineRule="auto"/>
        <w:rPr>
          <w:rFonts w:cs="Arial"/>
          <w:lang w:val="en-US"/>
        </w:rPr>
      </w:pPr>
    </w:p>
    <w:p w14:paraId="49052F7A" w14:textId="77777777" w:rsidR="005436E2" w:rsidRPr="005436E2" w:rsidRDefault="005436E2" w:rsidP="005436E2">
      <w:pPr>
        <w:spacing w:after="0" w:line="240" w:lineRule="auto"/>
        <w:rPr>
          <w:rFonts w:cs="Arial"/>
          <w:lang w:val="en-US"/>
        </w:rPr>
      </w:pPr>
      <w:r w:rsidRPr="005436E2">
        <w:rPr>
          <w:rFonts w:cs="Arial"/>
          <w:i/>
          <w:lang w:val="en-US"/>
        </w:rPr>
        <w:t>Indigenous people,</w:t>
      </w:r>
      <w:r w:rsidRPr="005436E2">
        <w:rPr>
          <w:rStyle w:val="Refdenotaalpie"/>
          <w:rFonts w:cs="Arial"/>
          <w:lang w:val="en-US"/>
        </w:rPr>
        <w:footnoteReference w:id="36"/>
      </w:r>
      <w:r w:rsidRPr="005436E2">
        <w:rPr>
          <w:rFonts w:cs="Arial"/>
          <w:lang w:val="en-US"/>
        </w:rPr>
        <w:t xml:space="preserve"> are descendants from the people who inhabited America before the conquest, totally or partially retaining their own institutions and social, economic, political, linguistic, and cultural institutions and practices, whatever their legal status is, and they define themselves as belonging to indigenous or pre-colonial peoples or cultures.  </w:t>
      </w:r>
    </w:p>
    <w:p w14:paraId="66FB389B" w14:textId="77777777" w:rsidR="005436E2" w:rsidRPr="005436E2" w:rsidRDefault="005436E2" w:rsidP="005436E2">
      <w:pPr>
        <w:spacing w:after="0" w:line="240" w:lineRule="auto"/>
        <w:rPr>
          <w:rFonts w:cs="Arial"/>
          <w:lang w:val="en-US"/>
        </w:rPr>
      </w:pPr>
    </w:p>
    <w:p w14:paraId="4EB7719E" w14:textId="77777777" w:rsidR="005436E2" w:rsidRPr="005436E2" w:rsidRDefault="005436E2" w:rsidP="005436E2">
      <w:pPr>
        <w:spacing w:after="0" w:line="240" w:lineRule="auto"/>
        <w:rPr>
          <w:rFonts w:cs="Arial"/>
          <w:lang w:val="en-US"/>
        </w:rPr>
      </w:pPr>
      <w:proofErr w:type="gramStart"/>
      <w:r w:rsidRPr="005436E2">
        <w:rPr>
          <w:rFonts w:cs="Arial"/>
          <w:i/>
          <w:lang w:val="en-US"/>
        </w:rPr>
        <w:t>Culture,</w:t>
      </w:r>
      <w:proofErr w:type="gramEnd"/>
      <w:r w:rsidRPr="005436E2">
        <w:rPr>
          <w:rFonts w:cs="Arial"/>
          <w:lang w:val="en-US"/>
        </w:rPr>
        <w:t xml:space="preserve"> refers to the multiple human dimensions expressed, among others, in uses, customs, knowledge, world vision, relation with spirituality, social organization, and forms of interaction, as well as their material and intangible expressions. </w:t>
      </w:r>
    </w:p>
    <w:p w14:paraId="6E8E9609" w14:textId="77777777" w:rsidR="005436E2" w:rsidRPr="005436E2" w:rsidRDefault="005436E2" w:rsidP="005436E2">
      <w:pPr>
        <w:spacing w:after="0" w:line="240" w:lineRule="auto"/>
        <w:rPr>
          <w:rFonts w:cs="Arial"/>
          <w:lang w:val="en-US"/>
        </w:rPr>
      </w:pPr>
    </w:p>
    <w:p w14:paraId="6F1EB6BA" w14:textId="2D48B21B" w:rsidR="005436E2" w:rsidRPr="00F606EF" w:rsidRDefault="005436E2" w:rsidP="005436E2">
      <w:pPr>
        <w:spacing w:after="0" w:line="240" w:lineRule="auto"/>
        <w:rPr>
          <w:rFonts w:cs="Arial"/>
          <w:lang w:val="en-US"/>
        </w:rPr>
      </w:pPr>
      <w:proofErr w:type="gramStart"/>
      <w:r w:rsidRPr="005436E2">
        <w:rPr>
          <w:rFonts w:cs="Arial"/>
          <w:i/>
          <w:lang w:val="en-US"/>
        </w:rPr>
        <w:t>Afro-American community,</w:t>
      </w:r>
      <w:proofErr w:type="gramEnd"/>
      <w:r w:rsidRPr="005436E2">
        <w:rPr>
          <w:rFonts w:cs="Arial"/>
          <w:lang w:val="en-US"/>
        </w:rPr>
        <w:t xml:space="preserve"> refers to the population with African roots, descendants from people who were enslaved during colonial times and who were able to survive, keeping some of the cultural characteristics from their birth places in Africa, which they have used to adapt to the new ecosystems where they settled, and have contributed to the societies of the countries where they came to live. </w:t>
      </w:r>
    </w:p>
    <w:p w14:paraId="0854E74C" w14:textId="77777777" w:rsidR="005436E2" w:rsidRPr="007C1730" w:rsidRDefault="005436E2" w:rsidP="005436E2">
      <w:pPr>
        <w:spacing w:after="0" w:line="240" w:lineRule="auto"/>
        <w:rPr>
          <w:rFonts w:cs="Arial"/>
          <w:lang w:val="en-US"/>
        </w:rPr>
      </w:pPr>
    </w:p>
    <w:p w14:paraId="3C3A0D7A" w14:textId="77777777" w:rsidR="005436E2" w:rsidRPr="00DA1875" w:rsidRDefault="005436E2" w:rsidP="005436E2">
      <w:pPr>
        <w:spacing w:after="0" w:line="240" w:lineRule="auto"/>
        <w:rPr>
          <w:rFonts w:cs="Arial"/>
          <w:lang w:val="en-US"/>
        </w:rPr>
      </w:pPr>
      <w:r w:rsidRPr="007C1730">
        <w:rPr>
          <w:rFonts w:cs="Arial"/>
          <w:i/>
          <w:lang w:val="en-US"/>
        </w:rPr>
        <w:t>Free, prior, and informed consultation</w:t>
      </w:r>
      <w:r w:rsidRPr="00DA1875">
        <w:rPr>
          <w:rFonts w:cs="Arial"/>
          <w:lang w:val="en-US"/>
        </w:rPr>
        <w:t xml:space="preserve">, this is a good faith process which is free and voluntary, without manipulation, interference, or coercion. It is prior because it is conducted before the start of any study or work in the project; it is informed because the communities that are consulted must have prior access to the information on the proposed project, its characteristics, scope, activities, responsible parties, expected timeline, their rights and duties during the process, and any relevant information to enable the understanding of the intervention that will take place, and the expected effects, before the execution of the project, and the impacts appear. </w:t>
      </w:r>
    </w:p>
    <w:p w14:paraId="1A23C402" w14:textId="77777777" w:rsidR="005436E2" w:rsidRPr="00DA1875" w:rsidRDefault="005436E2" w:rsidP="005436E2">
      <w:pPr>
        <w:spacing w:after="0" w:line="240" w:lineRule="auto"/>
        <w:rPr>
          <w:rFonts w:cs="Arial"/>
          <w:lang w:val="en-US"/>
        </w:rPr>
      </w:pPr>
    </w:p>
    <w:p w14:paraId="69234D87" w14:textId="77777777" w:rsidR="005436E2" w:rsidRPr="00DA1875" w:rsidRDefault="005436E2" w:rsidP="005436E2">
      <w:pPr>
        <w:spacing w:after="0" w:line="240" w:lineRule="auto"/>
        <w:rPr>
          <w:rFonts w:cs="Arial"/>
          <w:lang w:val="en-US"/>
        </w:rPr>
      </w:pPr>
      <w:proofErr w:type="gramStart"/>
      <w:r w:rsidRPr="00DA1875">
        <w:rPr>
          <w:rFonts w:cs="Arial"/>
          <w:i/>
          <w:lang w:val="en-US"/>
        </w:rPr>
        <w:t>The public consultation (free and informed)</w:t>
      </w:r>
      <w:r w:rsidRPr="00DA1875">
        <w:rPr>
          <w:rFonts w:cs="Arial"/>
          <w:lang w:val="en-US"/>
        </w:rPr>
        <w:t>,</w:t>
      </w:r>
      <w:proofErr w:type="gramEnd"/>
      <w:r w:rsidRPr="00DA1875">
        <w:rPr>
          <w:rFonts w:cs="Arial"/>
          <w:lang w:val="en-US"/>
        </w:rPr>
        <w:t xml:space="preserve"> is a process that is carried out during the preparation and execution of the project and the management plan, which must take into consideration the times and internal procedures for decision making of the consulted ethnic groups. For the consultation to be effective, the information and relationships must be carried out in an appropriate manner form the cultural point of view, and in the community's language. For this public consultation to be informed, the communities must have prior access to the information regarding the project, studies that have been carried out, the environmental impact evaluation process, the environmental management plan, and the plan for the </w:t>
      </w:r>
      <w:proofErr w:type="gramStart"/>
      <w:r w:rsidRPr="00DA1875">
        <w:rPr>
          <w:rFonts w:cs="Arial"/>
          <w:lang w:val="en-US"/>
        </w:rPr>
        <w:t>particular ethnic</w:t>
      </w:r>
      <w:proofErr w:type="gramEnd"/>
      <w:r w:rsidRPr="00DA1875">
        <w:rPr>
          <w:rFonts w:cs="Arial"/>
          <w:lang w:val="en-US"/>
        </w:rPr>
        <w:t xml:space="preserve"> group. The public consultation of the project does not replace the free, prior, and informed consultation that must be advanced with the ethnic groups. </w:t>
      </w:r>
    </w:p>
    <w:p w14:paraId="0A6214DB" w14:textId="77777777" w:rsidR="005436E2" w:rsidRPr="00DA1875" w:rsidRDefault="005436E2" w:rsidP="005436E2">
      <w:pPr>
        <w:spacing w:after="0" w:line="240" w:lineRule="auto"/>
        <w:rPr>
          <w:rFonts w:cs="Arial"/>
          <w:lang w:val="en-US"/>
        </w:rPr>
      </w:pPr>
    </w:p>
    <w:p w14:paraId="6FC6BCBE" w14:textId="216FAB99" w:rsidR="005436E2" w:rsidRPr="00DA1875" w:rsidRDefault="005436E2" w:rsidP="005436E2">
      <w:pPr>
        <w:spacing w:after="0" w:line="240" w:lineRule="auto"/>
        <w:rPr>
          <w:rFonts w:cs="Arial"/>
          <w:lang w:val="en-US"/>
        </w:rPr>
      </w:pPr>
      <w:proofErr w:type="gramStart"/>
      <w:r w:rsidRPr="00DA1875">
        <w:rPr>
          <w:rFonts w:cs="Arial"/>
          <w:i/>
          <w:lang w:val="en-US"/>
        </w:rPr>
        <w:t>Free, prior, and informed consent,</w:t>
      </w:r>
      <w:proofErr w:type="gramEnd"/>
      <w:r w:rsidRPr="00DA1875">
        <w:rPr>
          <w:rFonts w:cs="Arial"/>
          <w:i/>
          <w:lang w:val="en-US"/>
        </w:rPr>
        <w:t xml:space="preserve"> </w:t>
      </w:r>
      <w:r w:rsidRPr="00DA1875">
        <w:rPr>
          <w:rFonts w:cs="Arial"/>
          <w:lang w:val="en-US"/>
        </w:rPr>
        <w:t xml:space="preserve">is the result achieved by the consultation process described above, through which ethnic groups give their consent to the intervention of their territory, the measures to manage impacts, and the type of benefit they will receive. It is a collective right of indigenous peoples to adopt decisions through their representatives and traditional institutions. </w:t>
      </w:r>
    </w:p>
    <w:p w14:paraId="3643C527" w14:textId="77777777" w:rsidR="005436E2" w:rsidRPr="00DA1875" w:rsidRDefault="005436E2" w:rsidP="005436E2">
      <w:pPr>
        <w:spacing w:after="0" w:line="240" w:lineRule="auto"/>
        <w:rPr>
          <w:rFonts w:cs="Arial"/>
          <w:lang w:val="en-US"/>
        </w:rPr>
      </w:pPr>
    </w:p>
    <w:p w14:paraId="60EF3405" w14:textId="77777777" w:rsidR="005436E2" w:rsidRPr="00DA1875" w:rsidRDefault="005436E2" w:rsidP="005436E2">
      <w:pPr>
        <w:spacing w:after="0" w:line="240" w:lineRule="auto"/>
        <w:rPr>
          <w:rFonts w:cs="Arial"/>
          <w:lang w:val="en-US"/>
        </w:rPr>
      </w:pPr>
      <w:r w:rsidRPr="00DA1875">
        <w:rPr>
          <w:rFonts w:cs="Arial"/>
          <w:i/>
          <w:lang w:val="en-US"/>
        </w:rPr>
        <w:t xml:space="preserve">Differential approach: </w:t>
      </w:r>
      <w:r w:rsidRPr="00DA1875">
        <w:rPr>
          <w:rFonts w:cs="Arial"/>
          <w:lang w:val="en-US"/>
        </w:rPr>
        <w:t xml:space="preserve">given the different conditions and characteristics of the ethnic groups of the majority society, a differential approach is necessary for the actions and interactions developed with and for them, so that access to rights, goods, and services may be relevant and respond to their distinctive features. </w:t>
      </w:r>
    </w:p>
    <w:p w14:paraId="53AB8F43" w14:textId="77777777" w:rsidR="005436E2" w:rsidRPr="00DA1875" w:rsidRDefault="005436E2" w:rsidP="005436E2">
      <w:pPr>
        <w:spacing w:after="0" w:line="240" w:lineRule="auto"/>
        <w:rPr>
          <w:rFonts w:cs="Arial"/>
          <w:lang w:val="en-US"/>
        </w:rPr>
      </w:pPr>
    </w:p>
    <w:p w14:paraId="77A3E94F" w14:textId="77777777" w:rsidR="005436E2" w:rsidRPr="00DA1875" w:rsidRDefault="005436E2" w:rsidP="005436E2">
      <w:pPr>
        <w:spacing w:after="0" w:line="240" w:lineRule="auto"/>
        <w:rPr>
          <w:rFonts w:cs="Arial"/>
          <w:lang w:val="en-US"/>
        </w:rPr>
      </w:pPr>
      <w:r w:rsidRPr="00DA1875">
        <w:rPr>
          <w:rFonts w:cs="Arial"/>
          <w:i/>
          <w:lang w:val="en-US"/>
        </w:rPr>
        <w:t xml:space="preserve">Self-determination: </w:t>
      </w:r>
      <w:r w:rsidRPr="00DA1875">
        <w:rPr>
          <w:rFonts w:cs="Arial"/>
          <w:lang w:val="en-US"/>
        </w:rPr>
        <w:t xml:space="preserve">The international regulatory framework related to ethic groups includes their right to development and self-determination, meaning that they have the right to decide the type and approach of the development they aspire. </w:t>
      </w:r>
    </w:p>
    <w:p w14:paraId="663A7215" w14:textId="77777777" w:rsidR="005436E2" w:rsidRPr="00DA1875" w:rsidRDefault="005436E2" w:rsidP="005436E2">
      <w:pPr>
        <w:spacing w:after="0" w:line="240" w:lineRule="auto"/>
        <w:rPr>
          <w:rFonts w:cs="Arial"/>
          <w:lang w:val="en-US"/>
        </w:rPr>
      </w:pPr>
    </w:p>
    <w:p w14:paraId="6B378F87" w14:textId="74013B01" w:rsidR="005436E2" w:rsidRPr="00DA1875" w:rsidRDefault="005436E2" w:rsidP="005436E2">
      <w:pPr>
        <w:pStyle w:val="Ttulo1"/>
        <w:tabs>
          <w:tab w:val="num" w:pos="0"/>
        </w:tabs>
        <w:spacing w:before="0" w:after="0" w:line="240" w:lineRule="auto"/>
        <w:rPr>
          <w:rFonts w:cs="Arial"/>
          <w:lang w:val="en-US"/>
        </w:rPr>
      </w:pPr>
      <w:bookmarkStart w:id="129" w:name="_Toc476299576"/>
      <w:bookmarkStart w:id="130" w:name="_Toc109751743"/>
      <w:bookmarkStart w:id="131" w:name="_Toc114079881"/>
      <w:bookmarkStart w:id="132" w:name="_Toc114152232"/>
      <w:r w:rsidRPr="00DA1875">
        <w:rPr>
          <w:rFonts w:cs="Arial"/>
          <w:lang w:val="en-US"/>
        </w:rPr>
        <w:t>Objectives</w:t>
      </w:r>
      <w:bookmarkEnd w:id="129"/>
      <w:bookmarkEnd w:id="130"/>
      <w:bookmarkEnd w:id="131"/>
      <w:bookmarkEnd w:id="132"/>
    </w:p>
    <w:p w14:paraId="4D8A3091" w14:textId="77777777" w:rsidR="005436E2" w:rsidRPr="00DA1875" w:rsidRDefault="005436E2" w:rsidP="005436E2">
      <w:pPr>
        <w:spacing w:after="0" w:line="240" w:lineRule="auto"/>
        <w:rPr>
          <w:rFonts w:cs="Arial"/>
          <w:lang w:val="en-US" w:eastAsia="es-ES"/>
        </w:rPr>
      </w:pPr>
    </w:p>
    <w:p w14:paraId="497614B3"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Acknowledge and respect ethnic groups, their traditional knowledge, their traditional rights, human rights, rights over their territory and natural resources they use, their culture, social organization, knowledge, practices, uses, and customs.  </w:t>
      </w:r>
    </w:p>
    <w:p w14:paraId="5204F1B1"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Safeguard the physical, territorial, social, cultural, and economic integrity of ethnic groups. </w:t>
      </w:r>
    </w:p>
    <w:p w14:paraId="22B8E4E6"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Ensure a free, prior, and informed consultation process regarding actions that may cause impacts, and the measures for their management, before the start of the detailed studies. </w:t>
      </w:r>
    </w:p>
    <w:p w14:paraId="2A321DFA"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Ensure a public, free, and informed consultation process during the development of the detail studies, which include the active participation of ethnic groups.</w:t>
      </w:r>
    </w:p>
    <w:p w14:paraId="5FB4D22A"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Anticipate and avoid actions that may negative affect ethnic groups. </w:t>
      </w:r>
    </w:p>
    <w:p w14:paraId="36EF8700"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Mitigate or compensate negative aspects when they cannot be avoided, by means of measures designed jointly with the participation of ethnic groups. </w:t>
      </w:r>
    </w:p>
    <w:p w14:paraId="1E1ADA80"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Ensure the access of ethnic groups to the benefits of the project, and ensure they are culturally appropriate and inclusive. </w:t>
      </w:r>
    </w:p>
    <w:p w14:paraId="073D2FA1" w14:textId="77777777" w:rsidR="005436E2" w:rsidRPr="00DA1875" w:rsidRDefault="005436E2" w:rsidP="005436E2">
      <w:pPr>
        <w:pStyle w:val="Vieta1"/>
        <w:spacing w:line="240" w:lineRule="auto"/>
        <w:ind w:left="567" w:hanging="567"/>
        <w:rPr>
          <w:rFonts w:cs="Arial"/>
          <w:lang w:val="en-US"/>
        </w:rPr>
      </w:pPr>
      <w:r w:rsidRPr="00DA1875">
        <w:rPr>
          <w:rFonts w:cs="Arial"/>
          <w:lang w:val="en-US"/>
        </w:rPr>
        <w:t xml:space="preserve">Support ethnic group development with identity, including strengthening of their management capacities. </w:t>
      </w:r>
    </w:p>
    <w:p w14:paraId="5158DFC5" w14:textId="77777777" w:rsidR="005436E2" w:rsidRPr="00DA1875" w:rsidRDefault="005436E2" w:rsidP="005436E2">
      <w:pPr>
        <w:spacing w:after="0" w:line="240" w:lineRule="auto"/>
        <w:rPr>
          <w:rFonts w:cs="Arial"/>
          <w:lang w:val="en-US"/>
        </w:rPr>
      </w:pPr>
    </w:p>
    <w:p w14:paraId="598D6FD1" w14:textId="7E4F5F1D" w:rsidR="005436E2" w:rsidRPr="00DA1875" w:rsidRDefault="005436E2" w:rsidP="005436E2">
      <w:pPr>
        <w:pStyle w:val="Ttulo1"/>
        <w:tabs>
          <w:tab w:val="num" w:pos="0"/>
        </w:tabs>
        <w:spacing w:before="0" w:after="0" w:line="240" w:lineRule="auto"/>
        <w:rPr>
          <w:rFonts w:cs="Arial"/>
          <w:lang w:val="en-US"/>
        </w:rPr>
      </w:pPr>
      <w:bookmarkStart w:id="133" w:name="_Toc109751744"/>
      <w:bookmarkStart w:id="134" w:name="_Toc114079882"/>
      <w:bookmarkStart w:id="135" w:name="_Toc114152233"/>
      <w:r w:rsidRPr="00DA1875">
        <w:rPr>
          <w:rFonts w:cs="Arial"/>
          <w:lang w:val="en-US"/>
        </w:rPr>
        <w:t>Scope</w:t>
      </w:r>
      <w:bookmarkEnd w:id="133"/>
      <w:bookmarkEnd w:id="134"/>
      <w:bookmarkEnd w:id="135"/>
    </w:p>
    <w:p w14:paraId="22078A4E" w14:textId="77777777" w:rsidR="005436E2" w:rsidRPr="00DA1875" w:rsidRDefault="005436E2" w:rsidP="005436E2">
      <w:pPr>
        <w:spacing w:after="0" w:line="240" w:lineRule="auto"/>
        <w:rPr>
          <w:rFonts w:cs="Arial"/>
          <w:lang w:val="en-US"/>
        </w:rPr>
      </w:pPr>
    </w:p>
    <w:p w14:paraId="1651A2F6" w14:textId="58E574F9" w:rsidR="005436E2" w:rsidRDefault="005436E2" w:rsidP="005436E2">
      <w:pPr>
        <w:spacing w:after="0" w:line="240" w:lineRule="auto"/>
        <w:rPr>
          <w:lang w:val="en-US"/>
        </w:rPr>
      </w:pPr>
      <w:r w:rsidRPr="00DA1875">
        <w:rPr>
          <w:rFonts w:cs="Arial"/>
          <w:lang w:val="en-US"/>
        </w:rPr>
        <w:t>This safeguard applies to all projects and operations financed by CAF, in whose direct or indirect area of influence there are ethnic groups, or sacred places of i</w:t>
      </w:r>
      <w:r>
        <w:rPr>
          <w:lang w:val="en-US"/>
        </w:rPr>
        <w:t xml:space="preserve">mportance for an ethnic group, even if the territories they inhabit or with which they have links have not been legally recognized by the country. </w:t>
      </w:r>
    </w:p>
    <w:p w14:paraId="75C55303" w14:textId="77777777" w:rsidR="00D150E7" w:rsidRDefault="00D150E7" w:rsidP="005436E2">
      <w:pPr>
        <w:spacing w:after="0" w:line="240" w:lineRule="auto"/>
        <w:rPr>
          <w:lang w:val="en-US"/>
        </w:rPr>
      </w:pPr>
    </w:p>
    <w:p w14:paraId="54E57BED" w14:textId="77777777" w:rsidR="005436E2" w:rsidRDefault="005436E2" w:rsidP="005436E2">
      <w:pPr>
        <w:spacing w:after="0" w:line="240" w:lineRule="auto"/>
        <w:rPr>
          <w:lang w:val="en-US"/>
        </w:rPr>
      </w:pPr>
      <w:r>
        <w:rPr>
          <w:lang w:val="en-US"/>
        </w:rPr>
        <w:t xml:space="preserve">If an operation with these characteristics already started activities and requests CAF financing, an evaluation will be conducted of the actions carried out in said operation </w:t>
      </w:r>
      <w:proofErr w:type="gramStart"/>
      <w:r>
        <w:rPr>
          <w:lang w:val="en-US"/>
        </w:rPr>
        <w:t>in order to</w:t>
      </w:r>
      <w:proofErr w:type="gramEnd"/>
      <w:r>
        <w:rPr>
          <w:lang w:val="en-US"/>
        </w:rPr>
        <w:t xml:space="preserve"> determine if it is necessary to formulate and execute remedial plans that guarantee compliance with the objectives proposed in this safeguard.  </w:t>
      </w:r>
    </w:p>
    <w:p w14:paraId="02D014A9" w14:textId="77777777" w:rsidR="005436E2" w:rsidRDefault="005436E2" w:rsidP="005436E2">
      <w:pPr>
        <w:spacing w:after="0" w:line="240" w:lineRule="auto"/>
        <w:rPr>
          <w:lang w:val="en-US"/>
        </w:rPr>
      </w:pPr>
    </w:p>
    <w:p w14:paraId="03B5378B" w14:textId="77777777" w:rsidR="005436E2" w:rsidRDefault="005436E2" w:rsidP="005436E2">
      <w:pPr>
        <w:spacing w:after="0" w:line="240" w:lineRule="auto"/>
        <w:rPr>
          <w:lang w:val="en-US"/>
        </w:rPr>
      </w:pPr>
      <w:r>
        <w:rPr>
          <w:lang w:val="en-US"/>
        </w:rPr>
        <w:t xml:space="preserve">In case all or a significant part of the beneficiaries of the project belong to an ethnic group, the whole project must be designed and executed under the guidance of this safeguard. </w:t>
      </w:r>
    </w:p>
    <w:p w14:paraId="5A20800D" w14:textId="77777777" w:rsidR="005436E2" w:rsidRDefault="005436E2" w:rsidP="005436E2">
      <w:pPr>
        <w:spacing w:after="0" w:line="240" w:lineRule="auto"/>
        <w:rPr>
          <w:lang w:val="en-US"/>
        </w:rPr>
      </w:pPr>
    </w:p>
    <w:p w14:paraId="2BDD582B" w14:textId="77777777" w:rsidR="005436E2" w:rsidRDefault="005436E2" w:rsidP="005436E2">
      <w:pPr>
        <w:spacing w:after="0" w:line="240" w:lineRule="auto"/>
        <w:rPr>
          <w:lang w:val="en-US"/>
        </w:rPr>
      </w:pPr>
      <w:r>
        <w:rPr>
          <w:lang w:val="en-US"/>
        </w:rPr>
        <w:t xml:space="preserve">The safeguard applies to all the project's components, independently of the financing source. </w:t>
      </w:r>
    </w:p>
    <w:p w14:paraId="658C31ED" w14:textId="77777777" w:rsidR="005436E2" w:rsidRDefault="005436E2" w:rsidP="005436E2">
      <w:pPr>
        <w:spacing w:after="0" w:line="240" w:lineRule="auto"/>
        <w:rPr>
          <w:lang w:val="en-US"/>
        </w:rPr>
      </w:pPr>
    </w:p>
    <w:p w14:paraId="4E6435CD" w14:textId="77777777" w:rsidR="005436E2" w:rsidRDefault="005436E2" w:rsidP="005436E2">
      <w:pPr>
        <w:spacing w:after="0" w:line="240" w:lineRule="auto"/>
        <w:rPr>
          <w:lang w:val="en-US"/>
        </w:rPr>
      </w:pPr>
      <w:r>
        <w:rPr>
          <w:lang w:val="en-US"/>
        </w:rPr>
        <w:t>In case there are indigenous peoples that have not been contacted, guarantees must be given that the project will not impact these peoples, and that contact with them must be avoided, respecting their right to remain in such condition and live freely according to the culture.</w:t>
      </w:r>
      <w:r>
        <w:rPr>
          <w:rStyle w:val="Refdenotaalpie"/>
          <w:lang w:val="en-US"/>
        </w:rPr>
        <w:footnoteReference w:id="37"/>
      </w:r>
    </w:p>
    <w:p w14:paraId="087F495D" w14:textId="77777777" w:rsidR="009D1A70" w:rsidRDefault="009D1A70" w:rsidP="005436E2">
      <w:pPr>
        <w:spacing w:after="0" w:line="240" w:lineRule="auto"/>
        <w:rPr>
          <w:lang w:val="en-US"/>
        </w:rPr>
      </w:pPr>
    </w:p>
    <w:p w14:paraId="051F6D76" w14:textId="77777777" w:rsidR="005436E2" w:rsidRDefault="005436E2" w:rsidP="005436E2">
      <w:pPr>
        <w:spacing w:after="0" w:line="240" w:lineRule="auto"/>
        <w:rPr>
          <w:lang w:val="en-US"/>
        </w:rPr>
      </w:pPr>
      <w:r>
        <w:rPr>
          <w:lang w:val="en-US"/>
        </w:rPr>
        <w:t xml:space="preserve">CAF will not finance project that may cause significant negative impacts, and that imply a high risk for the physical, territorial, economic, and cultural integrity of an ethnic groups.  </w:t>
      </w:r>
    </w:p>
    <w:p w14:paraId="0481A8E3" w14:textId="10F749B1" w:rsidR="005436E2" w:rsidRPr="00BD1E90" w:rsidRDefault="005436E2" w:rsidP="005436E2">
      <w:pPr>
        <w:pStyle w:val="Ttulo1"/>
        <w:tabs>
          <w:tab w:val="num" w:pos="0"/>
        </w:tabs>
        <w:spacing w:before="0" w:after="0" w:line="240" w:lineRule="auto"/>
        <w:rPr>
          <w:rFonts w:cs="Arial"/>
          <w:sz w:val="22"/>
          <w:szCs w:val="22"/>
          <w:lang w:val="en-US"/>
        </w:rPr>
      </w:pPr>
      <w:bookmarkStart w:id="136" w:name="_Toc109751745"/>
      <w:bookmarkStart w:id="137" w:name="_Toc114079883"/>
      <w:bookmarkStart w:id="138" w:name="_Toc114152234"/>
      <w:bookmarkStart w:id="139" w:name="_Toc476299578"/>
      <w:r w:rsidRPr="00BD1E90">
        <w:rPr>
          <w:rFonts w:cs="Arial"/>
          <w:sz w:val="22"/>
          <w:szCs w:val="22"/>
          <w:lang w:val="en-US"/>
        </w:rPr>
        <w:t>Requirements</w:t>
      </w:r>
      <w:bookmarkEnd w:id="136"/>
      <w:bookmarkEnd w:id="137"/>
      <w:bookmarkEnd w:id="138"/>
      <w:r w:rsidRPr="00BD1E90">
        <w:rPr>
          <w:rFonts w:cs="Arial"/>
          <w:sz w:val="22"/>
          <w:szCs w:val="22"/>
          <w:lang w:val="en-US"/>
        </w:rPr>
        <w:t xml:space="preserve"> </w:t>
      </w:r>
      <w:bookmarkEnd w:id="139"/>
    </w:p>
    <w:p w14:paraId="7D38AE67" w14:textId="77777777" w:rsidR="005436E2" w:rsidRPr="00BD1E90" w:rsidRDefault="005436E2" w:rsidP="005436E2">
      <w:pPr>
        <w:spacing w:after="0" w:line="240" w:lineRule="auto"/>
        <w:rPr>
          <w:lang w:val="en-US"/>
        </w:rPr>
      </w:pPr>
    </w:p>
    <w:p w14:paraId="0287B07D" w14:textId="69258C96" w:rsidR="005436E2" w:rsidRPr="00BD1E90" w:rsidRDefault="005436E2" w:rsidP="005436E2">
      <w:pPr>
        <w:pStyle w:val="Ttulo2"/>
        <w:spacing w:before="0" w:after="0" w:line="240" w:lineRule="auto"/>
        <w:rPr>
          <w:szCs w:val="22"/>
          <w:lang w:val="en-US"/>
        </w:rPr>
      </w:pPr>
      <w:bookmarkStart w:id="140" w:name="_Toc109751746"/>
      <w:bookmarkStart w:id="141" w:name="_Toc114079884"/>
      <w:bookmarkStart w:id="142" w:name="_Toc114152235"/>
      <w:bookmarkStart w:id="143" w:name="_Toc476299579"/>
      <w:r w:rsidRPr="00BD1E90">
        <w:rPr>
          <w:szCs w:val="22"/>
          <w:lang w:val="en-US"/>
        </w:rPr>
        <w:t>About regulations and institutions</w:t>
      </w:r>
      <w:bookmarkEnd w:id="140"/>
      <w:bookmarkEnd w:id="141"/>
      <w:bookmarkEnd w:id="142"/>
      <w:r w:rsidRPr="00BD1E90">
        <w:rPr>
          <w:szCs w:val="22"/>
          <w:lang w:val="en-US"/>
        </w:rPr>
        <w:t xml:space="preserve"> </w:t>
      </w:r>
      <w:bookmarkEnd w:id="143"/>
    </w:p>
    <w:p w14:paraId="2A8A63AF" w14:textId="77777777" w:rsidR="005436E2" w:rsidRPr="00BD1E90" w:rsidRDefault="005436E2" w:rsidP="005436E2">
      <w:pPr>
        <w:spacing w:after="0" w:line="240" w:lineRule="auto"/>
        <w:rPr>
          <w:lang w:val="en-US" w:eastAsia="es-ES"/>
        </w:rPr>
      </w:pPr>
    </w:p>
    <w:p w14:paraId="1A1EF3DD"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Comply with the national legislation on ethnic groups and the international agreements related to the rights of ethnic groups. </w:t>
      </w:r>
    </w:p>
    <w:p w14:paraId="307E341C"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From the early stages of a project's cycle, connect the entities in charge of the affairs of ethnic groups in the country. </w:t>
      </w:r>
    </w:p>
    <w:p w14:paraId="74A1F34E" w14:textId="77777777" w:rsidR="005436E2" w:rsidRPr="00BD1E90" w:rsidRDefault="005436E2" w:rsidP="005436E2">
      <w:pPr>
        <w:spacing w:after="0" w:line="240" w:lineRule="auto"/>
        <w:rPr>
          <w:lang w:val="en-US"/>
        </w:rPr>
      </w:pPr>
    </w:p>
    <w:p w14:paraId="03FFEF13" w14:textId="436EB85A" w:rsidR="005436E2" w:rsidRPr="00BD1E90" w:rsidRDefault="005436E2" w:rsidP="005436E2">
      <w:pPr>
        <w:pStyle w:val="Ttulo2"/>
        <w:spacing w:before="0" w:after="0" w:line="240" w:lineRule="auto"/>
        <w:rPr>
          <w:szCs w:val="22"/>
          <w:lang w:val="en-US"/>
        </w:rPr>
      </w:pPr>
      <w:bookmarkStart w:id="144" w:name="_Toc109751747"/>
      <w:bookmarkStart w:id="145" w:name="_Toc114079885"/>
      <w:bookmarkStart w:id="146" w:name="_Toc114152236"/>
      <w:bookmarkStart w:id="147" w:name="_Toc476299580"/>
      <w:r w:rsidRPr="00BD1E90">
        <w:rPr>
          <w:szCs w:val="22"/>
          <w:lang w:val="en-US"/>
        </w:rPr>
        <w:t>Identification of ethnic groups or important sites for these groups</w:t>
      </w:r>
      <w:bookmarkEnd w:id="144"/>
      <w:bookmarkEnd w:id="145"/>
      <w:bookmarkEnd w:id="146"/>
      <w:r w:rsidRPr="00BD1E90">
        <w:rPr>
          <w:szCs w:val="22"/>
          <w:lang w:val="en-US"/>
        </w:rPr>
        <w:t xml:space="preserve"> </w:t>
      </w:r>
      <w:bookmarkEnd w:id="147"/>
    </w:p>
    <w:p w14:paraId="0C836992" w14:textId="77777777" w:rsidR="005436E2" w:rsidRPr="00BD1E90" w:rsidRDefault="005436E2" w:rsidP="005436E2">
      <w:pPr>
        <w:spacing w:after="0" w:line="240" w:lineRule="auto"/>
        <w:rPr>
          <w:lang w:val="en-US" w:eastAsia="es-ES"/>
        </w:rPr>
      </w:pPr>
    </w:p>
    <w:p w14:paraId="2875CC53"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With the entities responsible for the affairs of ethnic groups in the country, enquire about the presence of a group in the direct or indirect area of influence of the project. </w:t>
      </w:r>
    </w:p>
    <w:p w14:paraId="4A2C4E2A"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Review secondary sources and visit the direct and indirect area of influence of the project, to identify the presence of ethnic groups or important sites for these groups. </w:t>
      </w:r>
    </w:p>
    <w:p w14:paraId="20BF7C13" w14:textId="77777777" w:rsidR="005436E2" w:rsidRPr="00BD1E90" w:rsidRDefault="005436E2" w:rsidP="005436E2">
      <w:pPr>
        <w:spacing w:after="0" w:line="240" w:lineRule="auto"/>
        <w:rPr>
          <w:lang w:val="en-US"/>
        </w:rPr>
      </w:pPr>
    </w:p>
    <w:p w14:paraId="6D079E12" w14:textId="3AA9F1E1" w:rsidR="005436E2" w:rsidRPr="00BD1E90" w:rsidRDefault="005436E2" w:rsidP="005436E2">
      <w:pPr>
        <w:pStyle w:val="Ttulo2"/>
        <w:spacing w:before="0" w:after="0" w:line="240" w:lineRule="auto"/>
        <w:rPr>
          <w:szCs w:val="22"/>
          <w:lang w:val="en-US"/>
        </w:rPr>
      </w:pPr>
      <w:bookmarkStart w:id="148" w:name="_Toc109751748"/>
      <w:bookmarkStart w:id="149" w:name="_Toc114079886"/>
      <w:bookmarkStart w:id="150" w:name="_Toc114152237"/>
      <w:bookmarkStart w:id="151" w:name="_Toc476299581"/>
      <w:r w:rsidRPr="00BD1E90">
        <w:rPr>
          <w:szCs w:val="22"/>
          <w:lang w:val="en-US"/>
        </w:rPr>
        <w:t>About the evaluation of impacts</w:t>
      </w:r>
      <w:bookmarkEnd w:id="148"/>
      <w:bookmarkEnd w:id="149"/>
      <w:bookmarkEnd w:id="150"/>
      <w:r w:rsidRPr="00BD1E90">
        <w:rPr>
          <w:szCs w:val="22"/>
          <w:lang w:val="en-US"/>
        </w:rPr>
        <w:t xml:space="preserve"> </w:t>
      </w:r>
      <w:bookmarkEnd w:id="151"/>
    </w:p>
    <w:p w14:paraId="58480915" w14:textId="77777777" w:rsidR="005436E2" w:rsidRPr="00BD1E90" w:rsidRDefault="005436E2" w:rsidP="005436E2">
      <w:pPr>
        <w:spacing w:after="0" w:line="240" w:lineRule="auto"/>
        <w:rPr>
          <w:lang w:val="en-US" w:eastAsia="es-ES"/>
        </w:rPr>
      </w:pPr>
    </w:p>
    <w:p w14:paraId="5E913DDF"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In a participative manner, evaluate the potential positive impacts and benefits that the specific ethnic group may receive from the project, and define whether it is necessary to take measures for these to be accessible to all the members of the community independently of their gender and age, when applicable, and if they are culturally appropriate.  </w:t>
      </w:r>
    </w:p>
    <w:p w14:paraId="04FF8CA6"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In a participative manner, evaluate the negative impacts that the specific ethnic group may face </w:t>
      </w:r>
      <w:proofErr w:type="gramStart"/>
      <w:r w:rsidRPr="00BD1E90">
        <w:rPr>
          <w:sz w:val="22"/>
          <w:szCs w:val="22"/>
          <w:lang w:val="en-US"/>
        </w:rPr>
        <w:t>as a result of</w:t>
      </w:r>
      <w:proofErr w:type="gramEnd"/>
      <w:r w:rsidRPr="00BD1E90">
        <w:rPr>
          <w:sz w:val="22"/>
          <w:szCs w:val="22"/>
          <w:lang w:val="en-US"/>
        </w:rPr>
        <w:t xml:space="preserve"> the actions of the project in each technical stage, before the impacts may occur. Special attention must be given to the impacts on the territory, even if it has not been legally recognized, as well as impacts on the natural resources they use, sacred </w:t>
      </w:r>
      <w:proofErr w:type="spellStart"/>
      <w:r w:rsidRPr="00BD1E90">
        <w:rPr>
          <w:sz w:val="22"/>
          <w:szCs w:val="22"/>
          <w:lang w:val="en-US"/>
        </w:rPr>
        <w:t>palces</w:t>
      </w:r>
      <w:proofErr w:type="spellEnd"/>
      <w:r w:rsidRPr="00BD1E90">
        <w:rPr>
          <w:sz w:val="22"/>
          <w:szCs w:val="22"/>
          <w:lang w:val="en-US"/>
        </w:rPr>
        <w:t xml:space="preserve">, uses, customs, and social and political organization.  </w:t>
      </w:r>
    </w:p>
    <w:p w14:paraId="5AC380B7" w14:textId="77777777" w:rsidR="005436E2" w:rsidRPr="00BD1E90" w:rsidRDefault="005436E2" w:rsidP="005436E2">
      <w:pPr>
        <w:pStyle w:val="Vieta1"/>
        <w:spacing w:line="240" w:lineRule="auto"/>
        <w:rPr>
          <w:sz w:val="22"/>
          <w:szCs w:val="22"/>
          <w:lang w:val="en-US"/>
        </w:rPr>
      </w:pPr>
      <w:r w:rsidRPr="00BD1E90">
        <w:rPr>
          <w:sz w:val="22"/>
          <w:szCs w:val="22"/>
          <w:lang w:val="en-US"/>
        </w:rPr>
        <w:t>In case of significant negative impacts,</w:t>
      </w:r>
      <w:r w:rsidRPr="00BD1E90">
        <w:rPr>
          <w:rStyle w:val="Refdenotaalpie"/>
          <w:sz w:val="22"/>
          <w:szCs w:val="22"/>
          <w:lang w:val="en-US"/>
        </w:rPr>
        <w:footnoteReference w:id="38"/>
      </w:r>
      <w:r w:rsidRPr="00BD1E90">
        <w:rPr>
          <w:sz w:val="22"/>
          <w:szCs w:val="22"/>
          <w:lang w:val="en-US"/>
        </w:rPr>
        <w:t xml:space="preserve"> other alternatives of the project must be analyzed </w:t>
      </w:r>
      <w:proofErr w:type="gramStart"/>
      <w:r w:rsidRPr="00BD1E90">
        <w:rPr>
          <w:sz w:val="22"/>
          <w:szCs w:val="22"/>
          <w:lang w:val="en-US"/>
        </w:rPr>
        <w:t>in order to</w:t>
      </w:r>
      <w:proofErr w:type="gramEnd"/>
      <w:r w:rsidRPr="00BD1E90">
        <w:rPr>
          <w:sz w:val="22"/>
          <w:szCs w:val="22"/>
          <w:lang w:val="en-US"/>
        </w:rPr>
        <w:t xml:space="preserve"> reduce them much as possible, to develop mitigation or compensation measures that are accepted by the ethnic, and that are culturally appropriate. </w:t>
      </w:r>
    </w:p>
    <w:p w14:paraId="192DC01A"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Avoid obligatory displacement of ethnic groups from their territories, even if right over these territories have not been legally recognized by the country. A resettlement of these groups can only take place if it </w:t>
      </w:r>
      <w:proofErr w:type="gramStart"/>
      <w:r w:rsidRPr="00BD1E90">
        <w:rPr>
          <w:sz w:val="22"/>
          <w:szCs w:val="22"/>
          <w:lang w:val="en-US"/>
        </w:rPr>
        <w:t>can  be</w:t>
      </w:r>
      <w:proofErr w:type="gramEnd"/>
      <w:r w:rsidRPr="00BD1E90">
        <w:rPr>
          <w:sz w:val="22"/>
          <w:szCs w:val="22"/>
          <w:lang w:val="en-US"/>
        </w:rPr>
        <w:t xml:space="preserve"> guaranteed that they will improve their situation compared to the one they had before the resettlement, if their culture is not threatened, and if the communities grant their prior, free, and informed consent. In </w:t>
      </w:r>
      <w:proofErr w:type="gramStart"/>
      <w:r w:rsidRPr="00BD1E90">
        <w:rPr>
          <w:sz w:val="22"/>
          <w:szCs w:val="22"/>
          <w:lang w:val="en-US"/>
        </w:rPr>
        <w:t>this cases</w:t>
      </w:r>
      <w:proofErr w:type="gramEnd"/>
      <w:r w:rsidRPr="00BD1E90">
        <w:rPr>
          <w:sz w:val="22"/>
          <w:szCs w:val="22"/>
          <w:lang w:val="en-US"/>
        </w:rPr>
        <w:t xml:space="preserve">, the population resettlement safeguard will also apply. </w:t>
      </w:r>
    </w:p>
    <w:p w14:paraId="0B2F7433" w14:textId="77777777" w:rsidR="005436E2" w:rsidRPr="00BD1E90" w:rsidRDefault="005436E2" w:rsidP="005436E2">
      <w:pPr>
        <w:spacing w:after="0" w:line="240" w:lineRule="auto"/>
        <w:rPr>
          <w:lang w:val="en-US"/>
        </w:rPr>
      </w:pPr>
    </w:p>
    <w:p w14:paraId="36897855" w14:textId="06A31E4C" w:rsidR="005436E2" w:rsidRPr="00BD1E90" w:rsidRDefault="005436E2" w:rsidP="005436E2">
      <w:pPr>
        <w:pStyle w:val="Ttulo2"/>
        <w:spacing w:before="0" w:after="0" w:line="240" w:lineRule="auto"/>
        <w:rPr>
          <w:szCs w:val="22"/>
          <w:lang w:val="en-US"/>
        </w:rPr>
      </w:pPr>
      <w:bookmarkStart w:id="152" w:name="_Toc109751749"/>
      <w:bookmarkStart w:id="153" w:name="_Toc114079887"/>
      <w:bookmarkStart w:id="154" w:name="_Toc114152238"/>
      <w:bookmarkStart w:id="155" w:name="_Toc476299582"/>
      <w:r w:rsidRPr="00BD1E90">
        <w:rPr>
          <w:szCs w:val="22"/>
          <w:lang w:val="en-US"/>
        </w:rPr>
        <w:t>About consultations and relationships</w:t>
      </w:r>
      <w:bookmarkEnd w:id="152"/>
      <w:bookmarkEnd w:id="153"/>
      <w:bookmarkEnd w:id="154"/>
      <w:r w:rsidRPr="00BD1E90">
        <w:rPr>
          <w:szCs w:val="22"/>
          <w:lang w:val="en-US"/>
        </w:rPr>
        <w:t xml:space="preserve"> </w:t>
      </w:r>
      <w:bookmarkEnd w:id="155"/>
    </w:p>
    <w:p w14:paraId="52DA2A5F" w14:textId="77777777" w:rsidR="005436E2" w:rsidRPr="00BD1E90" w:rsidRDefault="005436E2" w:rsidP="005436E2">
      <w:pPr>
        <w:spacing w:after="0" w:line="240" w:lineRule="auto"/>
        <w:rPr>
          <w:lang w:val="en-US" w:eastAsia="es-ES"/>
        </w:rPr>
      </w:pPr>
    </w:p>
    <w:p w14:paraId="16986205"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Respect traditional authorities and organizational form of ethnic groups in the consultation and building of relationships process, as well as not generating parallel organizations.  </w:t>
      </w:r>
    </w:p>
    <w:p w14:paraId="6EF515AE"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Conduct consultations and interactions with ethic groups in their own language and in their territory to facilitate the understanding of the consulted issues and to achieve wide participation. </w:t>
      </w:r>
    </w:p>
    <w:p w14:paraId="4B4DB96F"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Carry out a free, prior, and informed consultation with the ethnic groups regarding the project that will be executed. </w:t>
      </w:r>
    </w:p>
    <w:p w14:paraId="7FCFAFA9"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Carry out a free, prior, and informed consultation with the ethnic groups regarding the characteristics of the project, the potential impacts on the natural and social environment, and the management measures proposed. </w:t>
      </w:r>
    </w:p>
    <w:p w14:paraId="5D92EC84"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Proved ethnic groups with enough and comprehensible information for an adequate and informed decision making. </w:t>
      </w:r>
    </w:p>
    <w:p w14:paraId="6888632F"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Respect the times of ethnic groups and their </w:t>
      </w:r>
      <w:proofErr w:type="gramStart"/>
      <w:r w:rsidRPr="00BD1E90">
        <w:rPr>
          <w:sz w:val="22"/>
          <w:szCs w:val="22"/>
          <w:lang w:val="en-US"/>
        </w:rPr>
        <w:t>decision making</w:t>
      </w:r>
      <w:proofErr w:type="gramEnd"/>
      <w:r w:rsidRPr="00BD1E90">
        <w:rPr>
          <w:sz w:val="22"/>
          <w:szCs w:val="22"/>
          <w:lang w:val="en-US"/>
        </w:rPr>
        <w:t xml:space="preserve"> systems for the development of the prior, free, and informed consultation. </w:t>
      </w:r>
    </w:p>
    <w:p w14:paraId="5351FD1B"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Develop the consultation process in an inclusive </w:t>
      </w:r>
      <w:proofErr w:type="gramStart"/>
      <w:r w:rsidRPr="00BD1E90">
        <w:rPr>
          <w:sz w:val="22"/>
          <w:szCs w:val="22"/>
          <w:lang w:val="en-US"/>
        </w:rPr>
        <w:t>an</w:t>
      </w:r>
      <w:proofErr w:type="gramEnd"/>
      <w:r w:rsidRPr="00BD1E90">
        <w:rPr>
          <w:sz w:val="22"/>
          <w:szCs w:val="22"/>
          <w:lang w:val="en-US"/>
        </w:rPr>
        <w:t xml:space="preserve"> participative manner, so that the conclusions and agreements reached are considered legitimate by most members of the community. </w:t>
      </w:r>
    </w:p>
    <w:p w14:paraId="0B67D864"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The consultation mechanisms must adapt to the community's social organization, its language, cultural </w:t>
      </w:r>
      <w:proofErr w:type="gramStart"/>
      <w:r w:rsidRPr="00BD1E90">
        <w:rPr>
          <w:sz w:val="22"/>
          <w:szCs w:val="22"/>
          <w:lang w:val="en-US"/>
        </w:rPr>
        <w:t>patterns</w:t>
      </w:r>
      <w:proofErr w:type="gramEnd"/>
      <w:r w:rsidRPr="00BD1E90">
        <w:rPr>
          <w:sz w:val="22"/>
          <w:szCs w:val="22"/>
          <w:lang w:val="en-US"/>
        </w:rPr>
        <w:t xml:space="preserve"> and conditions, and they must be inclusive. </w:t>
      </w:r>
    </w:p>
    <w:p w14:paraId="29E5372A"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Document the results of the consultation and the agreements reached with the community. </w:t>
      </w:r>
    </w:p>
    <w:p w14:paraId="598220FF"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Establish and maintain a permanent relationship based on the consultation and participation duly informed through all the stages of the project's cycle. </w:t>
      </w:r>
    </w:p>
    <w:p w14:paraId="7038AF33"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Establish mechanisms to guarantee a wide participation of the members of the community, inclusive in terms of gender and age. </w:t>
      </w:r>
    </w:p>
    <w:p w14:paraId="49A62C31"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Verify if there is wide support to the project, </w:t>
      </w:r>
      <w:proofErr w:type="gramStart"/>
      <w:r w:rsidRPr="00BD1E90">
        <w:rPr>
          <w:sz w:val="22"/>
          <w:szCs w:val="22"/>
          <w:lang w:val="en-US"/>
        </w:rPr>
        <w:t>the for</w:t>
      </w:r>
      <w:proofErr w:type="gramEnd"/>
      <w:r w:rsidRPr="00BD1E90">
        <w:rPr>
          <w:sz w:val="22"/>
          <w:szCs w:val="22"/>
          <w:lang w:val="en-US"/>
        </w:rPr>
        <w:t xml:space="preserve"> impacts, and the Plan for the Ethnic Group. </w:t>
      </w:r>
    </w:p>
    <w:p w14:paraId="06FA269A" w14:textId="77777777" w:rsidR="005436E2" w:rsidRPr="00BD1E90" w:rsidRDefault="005436E2" w:rsidP="005436E2">
      <w:pPr>
        <w:spacing w:after="0" w:line="240" w:lineRule="auto"/>
        <w:rPr>
          <w:lang w:val="en-US"/>
        </w:rPr>
      </w:pPr>
    </w:p>
    <w:p w14:paraId="45A78A68" w14:textId="76827D31" w:rsidR="005436E2" w:rsidRPr="00BD1E90" w:rsidRDefault="005436E2" w:rsidP="005436E2">
      <w:pPr>
        <w:pStyle w:val="Ttulo2"/>
        <w:spacing w:before="0" w:after="0" w:line="240" w:lineRule="auto"/>
        <w:rPr>
          <w:szCs w:val="22"/>
          <w:lang w:val="en-US"/>
        </w:rPr>
      </w:pPr>
      <w:bookmarkStart w:id="156" w:name="_Toc476299583"/>
      <w:bookmarkStart w:id="157" w:name="_Toc109751750"/>
      <w:bookmarkStart w:id="158" w:name="_Toc114079888"/>
      <w:bookmarkStart w:id="159" w:name="_Toc114152239"/>
      <w:r w:rsidRPr="00BD1E90">
        <w:rPr>
          <w:szCs w:val="22"/>
          <w:lang w:val="en-US"/>
        </w:rPr>
        <w:t>About prior, free, and informed consent</w:t>
      </w:r>
      <w:bookmarkEnd w:id="156"/>
      <w:bookmarkEnd w:id="157"/>
      <w:bookmarkEnd w:id="158"/>
      <w:bookmarkEnd w:id="159"/>
    </w:p>
    <w:p w14:paraId="477594EB" w14:textId="77777777" w:rsidR="005436E2" w:rsidRPr="00BD1E90" w:rsidRDefault="005436E2" w:rsidP="005436E2">
      <w:pPr>
        <w:spacing w:after="0" w:line="240" w:lineRule="auto"/>
        <w:rPr>
          <w:lang w:val="en-US" w:eastAsia="es-ES"/>
        </w:rPr>
      </w:pPr>
    </w:p>
    <w:p w14:paraId="04DECCBF" w14:textId="77777777" w:rsidR="005436E2" w:rsidRPr="00BD1E90" w:rsidRDefault="005436E2" w:rsidP="005436E2">
      <w:pPr>
        <w:pStyle w:val="Vieta1"/>
        <w:spacing w:line="240" w:lineRule="auto"/>
        <w:rPr>
          <w:sz w:val="22"/>
          <w:szCs w:val="22"/>
          <w:lang w:val="en-US"/>
        </w:rPr>
      </w:pPr>
      <w:r w:rsidRPr="00BD1E90">
        <w:rPr>
          <w:sz w:val="22"/>
          <w:szCs w:val="22"/>
          <w:lang w:val="en-US"/>
        </w:rPr>
        <w:t>Prior, free, and informed consent must be obtained when it is necessary to resettle the community and/or when there are impacts on: (</w:t>
      </w:r>
      <w:proofErr w:type="spellStart"/>
      <w:r w:rsidRPr="00BD1E90">
        <w:rPr>
          <w:sz w:val="22"/>
          <w:szCs w:val="22"/>
          <w:lang w:val="en-US"/>
        </w:rPr>
        <w:t>i</w:t>
      </w:r>
      <w:proofErr w:type="spellEnd"/>
      <w:r w:rsidRPr="00BD1E90">
        <w:rPr>
          <w:sz w:val="22"/>
          <w:szCs w:val="22"/>
          <w:lang w:val="en-US"/>
        </w:rPr>
        <w:t xml:space="preserve">) the territory; (ii) the natural resources used; (iii) cultural heritage; or (iv) sacred places or elements, or with a special value to the community. Both the process and the agreements reached in the dialogs with the community regarding other aspects must be documented.  </w:t>
      </w:r>
    </w:p>
    <w:p w14:paraId="726178E6" w14:textId="77777777" w:rsidR="005436E2" w:rsidRPr="00BD1E90" w:rsidRDefault="005436E2" w:rsidP="005436E2">
      <w:pPr>
        <w:spacing w:after="0" w:line="240" w:lineRule="auto"/>
        <w:rPr>
          <w:lang w:val="en-US"/>
        </w:rPr>
      </w:pPr>
    </w:p>
    <w:p w14:paraId="206814A1" w14:textId="328B70A7" w:rsidR="005436E2" w:rsidRPr="00BD1E90" w:rsidRDefault="005436E2" w:rsidP="005436E2">
      <w:pPr>
        <w:pStyle w:val="Ttulo2"/>
        <w:spacing w:before="0" w:after="0" w:line="240" w:lineRule="auto"/>
        <w:rPr>
          <w:szCs w:val="22"/>
          <w:lang w:val="en-US"/>
        </w:rPr>
      </w:pPr>
      <w:bookmarkStart w:id="160" w:name="_Toc109751751"/>
      <w:bookmarkStart w:id="161" w:name="_Toc114079889"/>
      <w:bookmarkStart w:id="162" w:name="_Toc114152240"/>
      <w:bookmarkStart w:id="163" w:name="_Toc476299584"/>
      <w:r w:rsidRPr="00BD1E90">
        <w:rPr>
          <w:szCs w:val="22"/>
          <w:lang w:val="en-US"/>
        </w:rPr>
        <w:t>About the planning</w:t>
      </w:r>
      <w:bookmarkEnd w:id="160"/>
      <w:bookmarkEnd w:id="161"/>
      <w:bookmarkEnd w:id="162"/>
      <w:r w:rsidRPr="00BD1E90">
        <w:rPr>
          <w:szCs w:val="22"/>
          <w:lang w:val="en-US"/>
        </w:rPr>
        <w:t xml:space="preserve"> </w:t>
      </w:r>
      <w:bookmarkEnd w:id="163"/>
    </w:p>
    <w:p w14:paraId="53EC2EBE" w14:textId="77777777" w:rsidR="005436E2" w:rsidRPr="00BD1E90" w:rsidRDefault="005436E2" w:rsidP="005436E2">
      <w:pPr>
        <w:spacing w:after="0" w:line="240" w:lineRule="auto"/>
        <w:rPr>
          <w:lang w:val="en-US" w:eastAsia="es-ES"/>
        </w:rPr>
      </w:pPr>
    </w:p>
    <w:p w14:paraId="26CA0917"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In a participative manner and respecting the organizational forms and </w:t>
      </w:r>
      <w:proofErr w:type="gramStart"/>
      <w:r w:rsidRPr="00BD1E90">
        <w:rPr>
          <w:sz w:val="22"/>
          <w:szCs w:val="22"/>
          <w:lang w:val="en-US"/>
        </w:rPr>
        <w:t>decision making</w:t>
      </w:r>
      <w:proofErr w:type="gramEnd"/>
      <w:r w:rsidRPr="00BD1E90">
        <w:rPr>
          <w:sz w:val="22"/>
          <w:szCs w:val="22"/>
          <w:lang w:val="en-US"/>
        </w:rPr>
        <w:t xml:space="preserve"> mechanisms of ethnic groups, design the management measures for the impacts to mitigate or compensate the negative impacts and ensure the existence of positive ones.  </w:t>
      </w:r>
    </w:p>
    <w:p w14:paraId="2FCB7792" w14:textId="77777777" w:rsidR="005436E2" w:rsidRPr="00BD1E90" w:rsidRDefault="005436E2" w:rsidP="005436E2">
      <w:pPr>
        <w:pStyle w:val="Vieta1"/>
        <w:spacing w:line="240" w:lineRule="auto"/>
        <w:rPr>
          <w:sz w:val="22"/>
          <w:szCs w:val="22"/>
          <w:lang w:val="en-US"/>
        </w:rPr>
      </w:pPr>
      <w:r w:rsidRPr="00BD1E90">
        <w:rPr>
          <w:sz w:val="22"/>
          <w:szCs w:val="22"/>
          <w:lang w:val="en-US"/>
        </w:rPr>
        <w:t>Consult and agree on the measures with the ethnic groups, so that they are culturally appropriate and there is a majority support for these measures.</w:t>
      </w:r>
    </w:p>
    <w:p w14:paraId="2BB6E911" w14:textId="23BFF55D" w:rsidR="005436E2" w:rsidRPr="00BD1E90" w:rsidRDefault="005436E2" w:rsidP="005436E2">
      <w:pPr>
        <w:pStyle w:val="Vieta1"/>
        <w:spacing w:line="240" w:lineRule="auto"/>
        <w:rPr>
          <w:sz w:val="22"/>
          <w:szCs w:val="22"/>
          <w:lang w:val="en-US"/>
        </w:rPr>
      </w:pPr>
      <w:r w:rsidRPr="00BD1E90">
        <w:rPr>
          <w:sz w:val="22"/>
          <w:szCs w:val="22"/>
          <w:lang w:val="en-US"/>
        </w:rPr>
        <w:t xml:space="preserve">Adapt the benefits offered by the project to ethnic groups so that they are culturally </w:t>
      </w:r>
      <w:r w:rsidR="00BD1E90" w:rsidRPr="00BD1E90">
        <w:rPr>
          <w:sz w:val="22"/>
          <w:szCs w:val="22"/>
          <w:lang w:val="en-US"/>
        </w:rPr>
        <w:t>appropriate,</w:t>
      </w:r>
      <w:r w:rsidRPr="00BD1E90">
        <w:rPr>
          <w:sz w:val="22"/>
          <w:szCs w:val="22"/>
          <w:lang w:val="en-US"/>
        </w:rPr>
        <w:t xml:space="preserve"> and they can access them easily.    </w:t>
      </w:r>
    </w:p>
    <w:p w14:paraId="23180087"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Organize the management measures in a Plan for the specific ethnic group. Each </w:t>
      </w:r>
      <w:proofErr w:type="gramStart"/>
      <w:r w:rsidRPr="00BD1E90">
        <w:rPr>
          <w:sz w:val="22"/>
          <w:szCs w:val="22"/>
          <w:lang w:val="en-US"/>
        </w:rPr>
        <w:t>measures</w:t>
      </w:r>
      <w:proofErr w:type="gramEnd"/>
      <w:r w:rsidRPr="00BD1E90">
        <w:rPr>
          <w:sz w:val="22"/>
          <w:szCs w:val="22"/>
          <w:lang w:val="en-US"/>
        </w:rPr>
        <w:t xml:space="preserve"> must define the objectives, goals, activities, responsible parties, timeline, and budget.  </w:t>
      </w:r>
    </w:p>
    <w:p w14:paraId="6AD8FC3A" w14:textId="77777777" w:rsidR="005436E2" w:rsidRPr="00BD1E90" w:rsidRDefault="005436E2" w:rsidP="005436E2">
      <w:pPr>
        <w:pStyle w:val="Vieta1"/>
        <w:spacing w:line="240" w:lineRule="auto"/>
        <w:rPr>
          <w:sz w:val="22"/>
          <w:szCs w:val="22"/>
          <w:lang w:val="en-US"/>
        </w:rPr>
      </w:pPr>
      <w:r w:rsidRPr="00BD1E90">
        <w:rPr>
          <w:sz w:val="22"/>
          <w:szCs w:val="22"/>
          <w:lang w:val="en-US"/>
        </w:rPr>
        <w:t>The plan's budget must be included in the total cost of the project, and mechanisms must be ensured for the timely availability of these funds</w:t>
      </w:r>
    </w:p>
    <w:p w14:paraId="21513E53" w14:textId="77777777" w:rsidR="005436E2" w:rsidRPr="00BD1E90" w:rsidRDefault="005436E2" w:rsidP="005436E2">
      <w:pPr>
        <w:spacing w:after="0" w:line="240" w:lineRule="auto"/>
        <w:rPr>
          <w:lang w:val="en-US"/>
        </w:rPr>
      </w:pPr>
    </w:p>
    <w:p w14:paraId="44D0B65E" w14:textId="58F3CB48" w:rsidR="005436E2" w:rsidRPr="00BD1E90" w:rsidRDefault="005436E2" w:rsidP="005436E2">
      <w:pPr>
        <w:pStyle w:val="Ttulo2"/>
        <w:spacing w:before="0" w:after="0" w:line="240" w:lineRule="auto"/>
        <w:rPr>
          <w:szCs w:val="22"/>
          <w:lang w:val="en-US"/>
        </w:rPr>
      </w:pPr>
      <w:bookmarkStart w:id="164" w:name="_Toc109751752"/>
      <w:bookmarkStart w:id="165" w:name="_Toc114079890"/>
      <w:bookmarkStart w:id="166" w:name="_Toc114152241"/>
      <w:bookmarkStart w:id="167" w:name="_Toc476299585"/>
      <w:r w:rsidRPr="00BD1E90">
        <w:rPr>
          <w:szCs w:val="22"/>
          <w:lang w:val="en-US"/>
        </w:rPr>
        <w:t>About the execution</w:t>
      </w:r>
      <w:bookmarkEnd w:id="164"/>
      <w:bookmarkEnd w:id="165"/>
      <w:bookmarkEnd w:id="166"/>
      <w:r w:rsidRPr="00BD1E90">
        <w:rPr>
          <w:szCs w:val="22"/>
          <w:lang w:val="en-US"/>
        </w:rPr>
        <w:t xml:space="preserve">  </w:t>
      </w:r>
      <w:bookmarkEnd w:id="167"/>
    </w:p>
    <w:p w14:paraId="15F1012D" w14:textId="77777777" w:rsidR="005436E2" w:rsidRPr="00BD1E90" w:rsidRDefault="005436E2" w:rsidP="005436E2">
      <w:pPr>
        <w:spacing w:after="0" w:line="240" w:lineRule="auto"/>
        <w:rPr>
          <w:lang w:val="en-US" w:eastAsia="es-ES"/>
        </w:rPr>
      </w:pPr>
    </w:p>
    <w:p w14:paraId="59C6EAB2"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The entity responsible for the project must have sufficient capacity to adequately execute the Plan. For this, it must have professionals that are experts on ethnic groups, human resources, and sufficient physical and financial resources to conduct all the necessarily studies, the consultation process, and the formulation and execution of the Plan for Ethnic Groups.   </w:t>
      </w:r>
    </w:p>
    <w:p w14:paraId="3F269637" w14:textId="77777777" w:rsidR="005436E2" w:rsidRPr="00BD1E90" w:rsidRDefault="005436E2" w:rsidP="005436E2">
      <w:pPr>
        <w:pStyle w:val="Vieta1"/>
        <w:spacing w:line="240" w:lineRule="auto"/>
        <w:rPr>
          <w:sz w:val="22"/>
          <w:szCs w:val="22"/>
          <w:lang w:val="en-US"/>
        </w:rPr>
      </w:pPr>
      <w:r w:rsidRPr="00BD1E90">
        <w:rPr>
          <w:sz w:val="22"/>
          <w:szCs w:val="22"/>
          <w:lang w:val="en-US"/>
        </w:rPr>
        <w:t>Design participative and culturally appropriate mechanisms to conduct a follow up and evaluation of the impact management plan for the indigenous or Afro-American communities</w:t>
      </w:r>
    </w:p>
    <w:p w14:paraId="465D96DE" w14:textId="77777777" w:rsidR="005436E2" w:rsidRPr="00BD1E90" w:rsidRDefault="005436E2" w:rsidP="005436E2">
      <w:pPr>
        <w:pStyle w:val="Vieta1"/>
        <w:spacing w:line="240" w:lineRule="auto"/>
        <w:rPr>
          <w:sz w:val="22"/>
          <w:szCs w:val="22"/>
          <w:lang w:val="en-US"/>
        </w:rPr>
      </w:pPr>
      <w:r w:rsidRPr="00BD1E90">
        <w:rPr>
          <w:sz w:val="22"/>
          <w:szCs w:val="22"/>
          <w:lang w:val="en-US"/>
        </w:rPr>
        <w:t>Design a system to address petitions, complaints, and claims which is accessible and culturally appropriate</w:t>
      </w:r>
    </w:p>
    <w:p w14:paraId="0F71A927"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Define an independent mechanism for the resolution of conflicts, accepted by both parties, in case conflicts emerge, and taking into consideration the traditional uses of the </w:t>
      </w:r>
      <w:proofErr w:type="gramStart"/>
      <w:r w:rsidRPr="00BD1E90">
        <w:rPr>
          <w:sz w:val="22"/>
          <w:szCs w:val="22"/>
          <w:lang w:val="en-US"/>
        </w:rPr>
        <w:t>communities</w:t>
      </w:r>
      <w:proofErr w:type="gramEnd"/>
      <w:r w:rsidRPr="00BD1E90">
        <w:rPr>
          <w:sz w:val="22"/>
          <w:szCs w:val="22"/>
          <w:lang w:val="en-US"/>
        </w:rPr>
        <w:t xml:space="preserve"> conflict resolution methods</w:t>
      </w:r>
    </w:p>
    <w:p w14:paraId="1673033B" w14:textId="77777777" w:rsidR="005436E2" w:rsidRPr="00BD1E90" w:rsidRDefault="005436E2" w:rsidP="005436E2">
      <w:pPr>
        <w:spacing w:after="0" w:line="240" w:lineRule="auto"/>
        <w:rPr>
          <w:lang w:val="en-US"/>
        </w:rPr>
      </w:pPr>
    </w:p>
    <w:p w14:paraId="554F9B8A" w14:textId="05BBA9AE" w:rsidR="005436E2" w:rsidRPr="00BD1E90" w:rsidRDefault="005436E2" w:rsidP="005436E2">
      <w:pPr>
        <w:pStyle w:val="Ttulo2"/>
        <w:spacing w:before="0" w:after="0" w:line="240" w:lineRule="auto"/>
        <w:rPr>
          <w:szCs w:val="22"/>
          <w:lang w:val="en-US"/>
        </w:rPr>
      </w:pPr>
      <w:bookmarkStart w:id="168" w:name="_Toc109751753"/>
      <w:bookmarkStart w:id="169" w:name="_Toc114079891"/>
      <w:bookmarkStart w:id="170" w:name="_Toc114152242"/>
      <w:bookmarkStart w:id="171" w:name="_Toc476299586"/>
      <w:r w:rsidRPr="00BD1E90">
        <w:rPr>
          <w:szCs w:val="22"/>
          <w:lang w:val="en-US"/>
        </w:rPr>
        <w:t>About the dissemination</w:t>
      </w:r>
      <w:bookmarkEnd w:id="168"/>
      <w:bookmarkEnd w:id="169"/>
      <w:bookmarkEnd w:id="170"/>
      <w:r w:rsidRPr="00BD1E90">
        <w:rPr>
          <w:szCs w:val="22"/>
          <w:lang w:val="en-US"/>
        </w:rPr>
        <w:t xml:space="preserve"> </w:t>
      </w:r>
      <w:bookmarkEnd w:id="171"/>
    </w:p>
    <w:p w14:paraId="6A0EE44F" w14:textId="77777777" w:rsidR="005436E2" w:rsidRPr="00BD1E90" w:rsidRDefault="005436E2" w:rsidP="005436E2">
      <w:pPr>
        <w:spacing w:after="0" w:line="240" w:lineRule="auto"/>
        <w:rPr>
          <w:lang w:val="en-US" w:eastAsia="es-ES"/>
        </w:rPr>
      </w:pPr>
    </w:p>
    <w:p w14:paraId="5859891C" w14:textId="77777777" w:rsidR="005436E2" w:rsidRPr="00BD1E90" w:rsidRDefault="005436E2" w:rsidP="005436E2">
      <w:pPr>
        <w:pStyle w:val="Vieta1"/>
        <w:spacing w:line="240" w:lineRule="auto"/>
        <w:rPr>
          <w:sz w:val="22"/>
          <w:szCs w:val="22"/>
          <w:lang w:val="en-US"/>
        </w:rPr>
      </w:pPr>
      <w:r w:rsidRPr="00BD1E90">
        <w:rPr>
          <w:sz w:val="22"/>
          <w:szCs w:val="22"/>
          <w:lang w:val="en-US"/>
        </w:rPr>
        <w:t xml:space="preserve">Disseminate the impact evaluation study and management </w:t>
      </w:r>
      <w:proofErr w:type="gramStart"/>
      <w:r w:rsidRPr="00BD1E90">
        <w:rPr>
          <w:sz w:val="22"/>
          <w:szCs w:val="22"/>
          <w:lang w:val="en-US"/>
        </w:rPr>
        <w:t>plans, and</w:t>
      </w:r>
      <w:proofErr w:type="gramEnd"/>
      <w:r w:rsidRPr="00BD1E90">
        <w:rPr>
          <w:sz w:val="22"/>
          <w:szCs w:val="22"/>
          <w:lang w:val="en-US"/>
        </w:rPr>
        <w:t xml:space="preserve"> make </w:t>
      </w:r>
      <w:proofErr w:type="spellStart"/>
      <w:r w:rsidRPr="00BD1E90">
        <w:rPr>
          <w:sz w:val="22"/>
          <w:szCs w:val="22"/>
          <w:lang w:val="en-US"/>
        </w:rPr>
        <w:t>accesible</w:t>
      </w:r>
      <w:proofErr w:type="spellEnd"/>
      <w:r w:rsidRPr="00BD1E90">
        <w:rPr>
          <w:sz w:val="22"/>
          <w:szCs w:val="22"/>
          <w:lang w:val="en-US"/>
        </w:rPr>
        <w:t xml:space="preserve"> versions of these documents to the communities.  </w:t>
      </w:r>
    </w:p>
    <w:p w14:paraId="7DEDCBEA" w14:textId="77777777" w:rsidR="005436E2" w:rsidRPr="00BD1E90" w:rsidRDefault="005436E2" w:rsidP="005436E2">
      <w:pPr>
        <w:pStyle w:val="Prrafodelista"/>
        <w:spacing w:after="0" w:line="240" w:lineRule="auto"/>
        <w:rPr>
          <w:lang w:val="en-US"/>
        </w:rPr>
      </w:pPr>
    </w:p>
    <w:p w14:paraId="26B4BA8F" w14:textId="19ECE373" w:rsidR="005436E2" w:rsidRPr="00BD1E90" w:rsidRDefault="005436E2" w:rsidP="005436E2">
      <w:pPr>
        <w:pStyle w:val="Ttulo2"/>
        <w:spacing w:before="0" w:after="0" w:line="240" w:lineRule="auto"/>
        <w:rPr>
          <w:szCs w:val="22"/>
          <w:lang w:val="en-US"/>
        </w:rPr>
      </w:pPr>
      <w:bookmarkStart w:id="172" w:name="_Toc476299587"/>
      <w:bookmarkStart w:id="173" w:name="_Toc109751754"/>
      <w:bookmarkStart w:id="174" w:name="_Toc114079892"/>
      <w:bookmarkStart w:id="175" w:name="_Toc114152243"/>
      <w:r w:rsidRPr="00BD1E90">
        <w:rPr>
          <w:szCs w:val="22"/>
          <w:lang w:val="en-US"/>
        </w:rPr>
        <w:t>Documents</w:t>
      </w:r>
      <w:bookmarkEnd w:id="172"/>
      <w:bookmarkEnd w:id="173"/>
      <w:bookmarkEnd w:id="174"/>
      <w:bookmarkEnd w:id="175"/>
    </w:p>
    <w:p w14:paraId="7E65BED0" w14:textId="77777777" w:rsidR="005436E2" w:rsidRPr="00BD1E90" w:rsidRDefault="005436E2" w:rsidP="005436E2">
      <w:pPr>
        <w:spacing w:after="0" w:line="240" w:lineRule="auto"/>
        <w:rPr>
          <w:lang w:val="en-US" w:eastAsia="es-ES"/>
        </w:rPr>
      </w:pPr>
    </w:p>
    <w:p w14:paraId="20561A9D" w14:textId="77777777" w:rsidR="005436E2" w:rsidRPr="00BD1E90" w:rsidRDefault="005436E2" w:rsidP="005436E2">
      <w:pPr>
        <w:spacing w:after="0" w:line="240" w:lineRule="auto"/>
        <w:rPr>
          <w:lang w:val="en-US"/>
        </w:rPr>
      </w:pPr>
      <w:r w:rsidRPr="00BD1E90">
        <w:rPr>
          <w:lang w:val="en-US"/>
        </w:rPr>
        <w:t xml:space="preserve">In order to organize and document the actions to comply with the </w:t>
      </w:r>
      <w:proofErr w:type="gramStart"/>
      <w:r w:rsidRPr="00BD1E90">
        <w:rPr>
          <w:lang w:val="en-US"/>
        </w:rPr>
        <w:t>above mentioned</w:t>
      </w:r>
      <w:proofErr w:type="gramEnd"/>
      <w:r w:rsidRPr="00BD1E90">
        <w:rPr>
          <w:lang w:val="en-US"/>
        </w:rPr>
        <w:t xml:space="preserve"> requirements, the proponent must prepare three documents: (</w:t>
      </w:r>
      <w:proofErr w:type="spellStart"/>
      <w:r w:rsidRPr="00BD1E90">
        <w:rPr>
          <w:lang w:val="en-US"/>
        </w:rPr>
        <w:t>i</w:t>
      </w:r>
      <w:proofErr w:type="spellEnd"/>
      <w:r w:rsidRPr="00BD1E90">
        <w:rPr>
          <w:lang w:val="en-US"/>
        </w:rPr>
        <w:t xml:space="preserve">) Results of the free, prior, and informed consultation; (ii) Social study and impact evaluation, and (iii) Plan for the Ethnic Group. Following is a description of the content and scope of these documents: </w:t>
      </w:r>
    </w:p>
    <w:p w14:paraId="2247C5FD" w14:textId="77777777" w:rsidR="005436E2" w:rsidRPr="00BD1E90" w:rsidRDefault="005436E2" w:rsidP="005436E2">
      <w:pPr>
        <w:spacing w:after="0" w:line="240" w:lineRule="auto"/>
        <w:rPr>
          <w:lang w:val="en-US"/>
        </w:rPr>
      </w:pPr>
    </w:p>
    <w:p w14:paraId="3683434B" w14:textId="77777777" w:rsidR="005436E2" w:rsidRPr="00BD1E90" w:rsidRDefault="005436E2" w:rsidP="005436E2">
      <w:pPr>
        <w:spacing w:after="0" w:line="240" w:lineRule="auto"/>
        <w:rPr>
          <w:i/>
          <w:lang w:val="en-US"/>
        </w:rPr>
      </w:pPr>
      <w:r w:rsidRPr="00BD1E90">
        <w:rPr>
          <w:i/>
          <w:lang w:val="en-US"/>
        </w:rPr>
        <w:t xml:space="preserve">Results of the free, prior, and informed consultation </w:t>
      </w:r>
    </w:p>
    <w:p w14:paraId="64B9598E" w14:textId="77777777" w:rsidR="005436E2" w:rsidRPr="00BD1E90" w:rsidRDefault="005436E2" w:rsidP="005436E2">
      <w:pPr>
        <w:spacing w:after="0" w:line="240" w:lineRule="auto"/>
        <w:rPr>
          <w:lang w:val="en-US"/>
        </w:rPr>
      </w:pPr>
    </w:p>
    <w:p w14:paraId="35AD771A" w14:textId="77777777" w:rsidR="005436E2" w:rsidRPr="00BD1E90" w:rsidRDefault="005436E2" w:rsidP="005436E2">
      <w:pPr>
        <w:spacing w:after="0" w:line="240" w:lineRule="auto"/>
        <w:rPr>
          <w:lang w:val="en-US"/>
        </w:rPr>
      </w:pPr>
      <w:r w:rsidRPr="00BD1E90">
        <w:rPr>
          <w:lang w:val="en-US"/>
        </w:rPr>
        <w:t xml:space="preserve">This document must describe the prior consultation process carried out with the communities regarding the project. This document must present the methodologies used, the events of the consultations, who and how was the consultation carried out and their results. This must include film and photographic registries and the acts of documents signed with the communities. If there are guarantors and/or participation of government entities, these must also be included.   </w:t>
      </w:r>
    </w:p>
    <w:p w14:paraId="5ABEE41B" w14:textId="77777777" w:rsidR="005436E2" w:rsidRPr="00BD1E90" w:rsidRDefault="005436E2" w:rsidP="005436E2">
      <w:pPr>
        <w:spacing w:after="0" w:line="240" w:lineRule="auto"/>
        <w:rPr>
          <w:lang w:val="en-US"/>
        </w:rPr>
      </w:pPr>
    </w:p>
    <w:p w14:paraId="6841BA78" w14:textId="77777777" w:rsidR="005436E2" w:rsidRPr="00BD1E90" w:rsidRDefault="005436E2" w:rsidP="005436E2">
      <w:pPr>
        <w:spacing w:after="0" w:line="240" w:lineRule="auto"/>
        <w:rPr>
          <w:i/>
          <w:lang w:val="en-US"/>
        </w:rPr>
      </w:pPr>
      <w:r w:rsidRPr="00BD1E90">
        <w:rPr>
          <w:i/>
          <w:lang w:val="en-US"/>
        </w:rPr>
        <w:t xml:space="preserve">Social study and impact evaluation  </w:t>
      </w:r>
    </w:p>
    <w:p w14:paraId="3C9B858E" w14:textId="77777777" w:rsidR="005436E2" w:rsidRPr="00BD1E90" w:rsidRDefault="005436E2" w:rsidP="005436E2">
      <w:pPr>
        <w:spacing w:after="0" w:line="240" w:lineRule="auto"/>
        <w:rPr>
          <w:lang w:val="en-US"/>
        </w:rPr>
      </w:pPr>
    </w:p>
    <w:p w14:paraId="355F6B02" w14:textId="77777777" w:rsidR="005436E2" w:rsidRPr="00BD1E90" w:rsidRDefault="005436E2" w:rsidP="005436E2">
      <w:pPr>
        <w:spacing w:after="0" w:line="240" w:lineRule="auto"/>
        <w:rPr>
          <w:lang w:val="en-US"/>
        </w:rPr>
      </w:pPr>
      <w:r w:rsidRPr="00BD1E90">
        <w:rPr>
          <w:lang w:val="en-US"/>
        </w:rPr>
        <w:t xml:space="preserve">This document must include the following four chapters:  </w:t>
      </w:r>
    </w:p>
    <w:p w14:paraId="2898FE13" w14:textId="77777777" w:rsidR="005436E2" w:rsidRPr="00BD1E90" w:rsidRDefault="005436E2" w:rsidP="005436E2">
      <w:pPr>
        <w:spacing w:after="0" w:line="240" w:lineRule="auto"/>
        <w:rPr>
          <w:lang w:val="en-US"/>
        </w:rPr>
      </w:pPr>
    </w:p>
    <w:p w14:paraId="1057EA49" w14:textId="77777777" w:rsidR="005436E2" w:rsidRPr="00BD1E90" w:rsidRDefault="005436E2" w:rsidP="005436E2">
      <w:pPr>
        <w:pStyle w:val="Prrafodelista"/>
        <w:numPr>
          <w:ilvl w:val="0"/>
          <w:numId w:val="59"/>
        </w:numPr>
        <w:spacing w:after="0" w:line="240" w:lineRule="auto"/>
        <w:ind w:left="426" w:hanging="426"/>
        <w:rPr>
          <w:lang w:val="en-US"/>
        </w:rPr>
      </w:pPr>
      <w:r w:rsidRPr="00BD1E90">
        <w:rPr>
          <w:lang w:val="en-US"/>
        </w:rPr>
        <w:t xml:space="preserve">Social and ethnographic study. This study must describe the type of ethnic group in detail, its history, demographic, social, economic, cultural, and religious characteristics, the territories they inhabit and those with which they have close links, the use of the territory and its resources, their current situation, their social and political organization, the rights that the State has acknowledged over territories and other types of rights, the projects that have developed over their territory, its consequences, programs or projects that are currently being developed with the communities (objectives, responsible parties, state of execution, results), conflicts that these groups have faced and how they were solved, the existing social liabilities and the adequate manner to conduct the prior, free, and informed consultation so that their organization, cultural patterns, decision making processes, and time management are respected. The main actors that have relationships or influence with the community, their nature, functions, roles, and interests, must be identified.  </w:t>
      </w:r>
    </w:p>
    <w:p w14:paraId="17C39BA8" w14:textId="77777777" w:rsidR="005436E2" w:rsidRPr="00BD1E90" w:rsidRDefault="005436E2" w:rsidP="005436E2">
      <w:pPr>
        <w:pStyle w:val="Prrafodelista"/>
        <w:spacing w:after="0" w:line="240" w:lineRule="auto"/>
        <w:ind w:left="426" w:hanging="426"/>
        <w:rPr>
          <w:lang w:val="en-US"/>
        </w:rPr>
      </w:pPr>
    </w:p>
    <w:p w14:paraId="46374B28" w14:textId="77777777" w:rsidR="005436E2" w:rsidRPr="00BD1E90" w:rsidRDefault="005436E2" w:rsidP="005436E2">
      <w:pPr>
        <w:pStyle w:val="Prrafodelista"/>
        <w:numPr>
          <w:ilvl w:val="0"/>
          <w:numId w:val="59"/>
        </w:numPr>
        <w:spacing w:after="0" w:line="240" w:lineRule="auto"/>
        <w:ind w:left="426" w:hanging="426"/>
        <w:rPr>
          <w:lang w:val="en-US"/>
        </w:rPr>
      </w:pPr>
      <w:r w:rsidRPr="00BD1E90">
        <w:rPr>
          <w:lang w:val="en-US"/>
        </w:rPr>
        <w:t>Legal and institutional framework. This document will describe the countries current legal framework for indigenous peoples or specific ethnic groups, relevant international agreements subscribed by the country, compliance with national legislation and agreements in the framework of the proposed project, and the governmental institutions in charge of managing the affairs of these groups, their functions, and responsibilities.</w:t>
      </w:r>
    </w:p>
    <w:p w14:paraId="24B8759A" w14:textId="77777777" w:rsidR="005436E2" w:rsidRPr="00BD1E90" w:rsidRDefault="005436E2" w:rsidP="005436E2">
      <w:pPr>
        <w:pStyle w:val="Prrafodelista"/>
        <w:numPr>
          <w:ilvl w:val="0"/>
          <w:numId w:val="59"/>
        </w:numPr>
        <w:spacing w:after="0" w:line="240" w:lineRule="auto"/>
        <w:ind w:left="426" w:hanging="426"/>
        <w:rPr>
          <w:lang w:val="en-US"/>
        </w:rPr>
      </w:pPr>
      <w:r w:rsidRPr="00BD1E90">
        <w:rPr>
          <w:lang w:val="en-US"/>
        </w:rPr>
        <w:t xml:space="preserve">Impact evaluation. This is the impact evaluation study for both positive and negative impacts that the project may cause to specific communities. This evaluation must specify the methodology used, the results of the impact evaluation, the participation of the communities in the studies, their </w:t>
      </w:r>
      <w:proofErr w:type="gramStart"/>
      <w:r w:rsidRPr="00BD1E90">
        <w:rPr>
          <w:lang w:val="en-US"/>
        </w:rPr>
        <w:t>opinions</w:t>
      </w:r>
      <w:proofErr w:type="gramEnd"/>
      <w:r w:rsidRPr="00BD1E90">
        <w:rPr>
          <w:lang w:val="en-US"/>
        </w:rPr>
        <w:t xml:space="preserve"> and comments to the results of this evaluation, and the documents that support this evaluation.   </w:t>
      </w:r>
    </w:p>
    <w:p w14:paraId="538453F6" w14:textId="77777777" w:rsidR="005436E2" w:rsidRPr="00BD1E90" w:rsidRDefault="005436E2" w:rsidP="005436E2">
      <w:pPr>
        <w:pStyle w:val="Prrafodelista"/>
        <w:spacing w:after="0" w:line="240" w:lineRule="auto"/>
        <w:ind w:left="426" w:hanging="426"/>
        <w:rPr>
          <w:lang w:val="en-US"/>
        </w:rPr>
      </w:pPr>
    </w:p>
    <w:p w14:paraId="1695D4FE" w14:textId="77777777" w:rsidR="005436E2" w:rsidRPr="00BD1E90" w:rsidRDefault="005436E2" w:rsidP="005436E2">
      <w:pPr>
        <w:pStyle w:val="Prrafodelista"/>
        <w:numPr>
          <w:ilvl w:val="0"/>
          <w:numId w:val="59"/>
        </w:numPr>
        <w:spacing w:after="0" w:line="240" w:lineRule="auto"/>
        <w:ind w:left="426" w:hanging="426"/>
        <w:rPr>
          <w:lang w:val="en-US"/>
        </w:rPr>
      </w:pPr>
      <w:r w:rsidRPr="00BD1E90">
        <w:rPr>
          <w:lang w:val="en-US"/>
        </w:rPr>
        <w:t xml:space="preserve">Public, free, and informed consultation. This document must describe </w:t>
      </w:r>
      <w:proofErr w:type="spellStart"/>
      <w:r w:rsidRPr="00BD1E90">
        <w:rPr>
          <w:lang w:val="en-US"/>
        </w:rPr>
        <w:t>tyhe</w:t>
      </w:r>
      <w:proofErr w:type="spellEnd"/>
      <w:r w:rsidRPr="00BD1E90">
        <w:rPr>
          <w:lang w:val="en-US"/>
        </w:rPr>
        <w:t xml:space="preserve"> consultation process carried out with the communities regarding: (</w:t>
      </w:r>
      <w:proofErr w:type="spellStart"/>
      <w:r w:rsidRPr="00BD1E90">
        <w:rPr>
          <w:lang w:val="en-US"/>
        </w:rPr>
        <w:t>i</w:t>
      </w:r>
      <w:proofErr w:type="spellEnd"/>
      <w:r w:rsidRPr="00BD1E90">
        <w:rPr>
          <w:lang w:val="en-US"/>
        </w:rPr>
        <w:t xml:space="preserve">) the project, (ii) the impact evaluation, (iii) the plan for impact management and relationship building with the communities and of the type of benefits that the communities will receive. This document must include the methodology used, the events of the consultations, who will be consulted and how, and the results. This must also include the film and photographic registries and the acts of documents that have been signed with the communities. If there are guarantors and/or participation of government entities, these must also be included. </w:t>
      </w:r>
    </w:p>
    <w:p w14:paraId="0D18D8D6" w14:textId="77777777" w:rsidR="005436E2" w:rsidRPr="00BD1E90" w:rsidRDefault="005436E2" w:rsidP="005436E2">
      <w:pPr>
        <w:pStyle w:val="Prrafodelista"/>
        <w:spacing w:after="0" w:line="240" w:lineRule="auto"/>
        <w:rPr>
          <w:lang w:val="en-US"/>
        </w:rPr>
      </w:pPr>
    </w:p>
    <w:p w14:paraId="0D4344F0" w14:textId="77777777" w:rsidR="005436E2" w:rsidRPr="00BD1E90" w:rsidRDefault="005436E2" w:rsidP="005436E2">
      <w:pPr>
        <w:spacing w:after="0" w:line="240" w:lineRule="auto"/>
        <w:rPr>
          <w:i/>
          <w:lang w:val="en-US"/>
        </w:rPr>
      </w:pPr>
      <w:r w:rsidRPr="00BD1E90">
        <w:rPr>
          <w:i/>
          <w:lang w:val="en-US"/>
        </w:rPr>
        <w:t xml:space="preserve">Plan for the Ethnic Group </w:t>
      </w:r>
    </w:p>
    <w:p w14:paraId="68B871B1" w14:textId="77777777" w:rsidR="005436E2" w:rsidRPr="00BD1E90" w:rsidRDefault="005436E2" w:rsidP="005436E2">
      <w:pPr>
        <w:spacing w:after="0" w:line="240" w:lineRule="auto"/>
        <w:ind w:left="360"/>
        <w:rPr>
          <w:lang w:val="en-US"/>
        </w:rPr>
      </w:pPr>
    </w:p>
    <w:p w14:paraId="06EE9096" w14:textId="53006786" w:rsidR="005436E2" w:rsidRPr="00BD1E90" w:rsidRDefault="005436E2" w:rsidP="005436E2">
      <w:pPr>
        <w:spacing w:after="0" w:line="240" w:lineRule="auto"/>
        <w:rPr>
          <w:lang w:val="en-US"/>
        </w:rPr>
      </w:pPr>
      <w:r w:rsidRPr="00BD1E90">
        <w:rPr>
          <w:lang w:val="en-US"/>
        </w:rPr>
        <w:t xml:space="preserve">This plan can be named with the name of the group or specific ethnic community, or with a name agreed upon with said group. It is made up by the measures to facilitate the existence of positive impacts, to mitigate or compensate the negative impacts, and to ensure that the benefits received from the project are inclusive and culturally appropriate. Each proposed measure must establish its objectives, goals, activities, responsible parties, the timeline and budget for its implementation, the source for the allocation of resources, and follow-up and evaluation indicators. The timeline for the development of management measures must be connected to the project's timeline, so that the measures may be applied before the impact occurs. It should specify whether the budget to execute the Plan is included within the project's cost structure, and if these resources will come from the credit granted by CAF, from the national counterpart, or from a combination of these two sources. The Plan will also specify the strategy and relationship building and consultation mechanisms during the execution of the project and of the Plan for Ethnic Groups. The Plan must consider mechanisms to produce synergies with programs from other organizations, if possible.  </w:t>
      </w:r>
    </w:p>
    <w:p w14:paraId="092D7295" w14:textId="77777777" w:rsidR="005436E2" w:rsidRPr="00BD1E90" w:rsidRDefault="005436E2" w:rsidP="005436E2">
      <w:pPr>
        <w:spacing w:after="0" w:line="240" w:lineRule="auto"/>
        <w:rPr>
          <w:lang w:val="en-US"/>
        </w:rPr>
      </w:pPr>
    </w:p>
    <w:p w14:paraId="2F91786D" w14:textId="59861D5A" w:rsidR="005436E2" w:rsidRPr="00BD1E90" w:rsidRDefault="005436E2" w:rsidP="005436E2">
      <w:pPr>
        <w:pStyle w:val="Ttulo1"/>
        <w:tabs>
          <w:tab w:val="num" w:pos="0"/>
        </w:tabs>
        <w:spacing w:before="0" w:after="0" w:line="240" w:lineRule="auto"/>
        <w:rPr>
          <w:sz w:val="22"/>
          <w:szCs w:val="22"/>
          <w:lang w:val="en-US"/>
        </w:rPr>
      </w:pPr>
      <w:bookmarkStart w:id="176" w:name="_Toc109751755"/>
      <w:bookmarkStart w:id="177" w:name="_Toc114079893"/>
      <w:bookmarkStart w:id="178" w:name="_Toc114152244"/>
      <w:r w:rsidRPr="00BD1E90">
        <w:rPr>
          <w:rFonts w:cs="Arial"/>
          <w:sz w:val="22"/>
          <w:szCs w:val="22"/>
          <w:lang w:val="en-US"/>
        </w:rPr>
        <w:t>Procedure</w:t>
      </w:r>
      <w:bookmarkEnd w:id="176"/>
      <w:bookmarkEnd w:id="177"/>
      <w:bookmarkEnd w:id="178"/>
    </w:p>
    <w:p w14:paraId="7AC5AD35" w14:textId="77777777" w:rsidR="005436E2" w:rsidRPr="00BD1E90" w:rsidRDefault="005436E2" w:rsidP="005436E2">
      <w:pPr>
        <w:spacing w:after="0" w:line="240" w:lineRule="auto"/>
        <w:rPr>
          <w:lang w:val="en-US"/>
        </w:rPr>
      </w:pPr>
    </w:p>
    <w:p w14:paraId="0C92D2A0" w14:textId="2C376631" w:rsidR="005436E2" w:rsidRPr="00BD1E90" w:rsidRDefault="005436E2" w:rsidP="005436E2">
      <w:pPr>
        <w:pStyle w:val="Ttulo2"/>
        <w:spacing w:before="0" w:after="0" w:line="240" w:lineRule="auto"/>
        <w:rPr>
          <w:szCs w:val="22"/>
          <w:lang w:val="en-US"/>
        </w:rPr>
      </w:pPr>
      <w:bookmarkStart w:id="179" w:name="_Toc109751756"/>
      <w:bookmarkStart w:id="180" w:name="_Toc114079894"/>
      <w:bookmarkStart w:id="181" w:name="_Toc114152245"/>
      <w:r w:rsidRPr="00BD1E90">
        <w:rPr>
          <w:szCs w:val="22"/>
          <w:lang w:val="en-US"/>
        </w:rPr>
        <w:t>Origination</w:t>
      </w:r>
      <w:bookmarkEnd w:id="179"/>
      <w:bookmarkEnd w:id="180"/>
      <w:bookmarkEnd w:id="181"/>
    </w:p>
    <w:p w14:paraId="77A70E13" w14:textId="77777777" w:rsidR="005436E2" w:rsidRPr="00BD1E90" w:rsidRDefault="005436E2" w:rsidP="005436E2">
      <w:pPr>
        <w:spacing w:after="0" w:line="240" w:lineRule="auto"/>
        <w:rPr>
          <w:lang w:val="en-US"/>
        </w:rPr>
      </w:pPr>
    </w:p>
    <w:p w14:paraId="5ED3F9D1" w14:textId="77777777" w:rsidR="005436E2" w:rsidRPr="00BD1E90" w:rsidRDefault="005436E2" w:rsidP="005436E2">
      <w:pPr>
        <w:spacing w:after="0" w:line="240" w:lineRule="auto"/>
        <w:rPr>
          <w:lang w:val="en-US"/>
        </w:rPr>
      </w:pPr>
      <w:r w:rsidRPr="00BD1E90">
        <w:rPr>
          <w:lang w:val="en-US"/>
        </w:rPr>
        <w:t xml:space="preserve">In the origination stage, CAF will verify if the Project's area of influence is close to or in indigenous territories, or if it has the potential to affect indigenous communities or ethnic groups.  </w:t>
      </w:r>
    </w:p>
    <w:p w14:paraId="0523BE24" w14:textId="77777777" w:rsidR="005436E2" w:rsidRPr="00BD1E90" w:rsidRDefault="005436E2" w:rsidP="005436E2">
      <w:pPr>
        <w:spacing w:after="0" w:line="240" w:lineRule="auto"/>
        <w:rPr>
          <w:lang w:val="en-US"/>
        </w:rPr>
      </w:pPr>
    </w:p>
    <w:p w14:paraId="47421E2E" w14:textId="06E0E1AB" w:rsidR="005436E2" w:rsidRPr="00BD1E90" w:rsidRDefault="005436E2" w:rsidP="005436E2">
      <w:pPr>
        <w:pStyle w:val="Ttulo2"/>
        <w:spacing w:before="0" w:after="0" w:line="240" w:lineRule="auto"/>
        <w:rPr>
          <w:szCs w:val="22"/>
          <w:lang w:val="en-US"/>
        </w:rPr>
      </w:pPr>
      <w:bookmarkStart w:id="182" w:name="_Toc476299590"/>
      <w:bookmarkStart w:id="183" w:name="_Toc109751757"/>
      <w:bookmarkStart w:id="184" w:name="_Toc114079895"/>
      <w:bookmarkStart w:id="185" w:name="_Toc114152246"/>
      <w:r w:rsidRPr="00BD1E90">
        <w:rPr>
          <w:szCs w:val="22"/>
          <w:lang w:val="en-US"/>
        </w:rPr>
        <w:t>Evalua</w:t>
      </w:r>
      <w:bookmarkEnd w:id="182"/>
      <w:r w:rsidRPr="00BD1E90">
        <w:rPr>
          <w:szCs w:val="22"/>
          <w:lang w:val="en-US"/>
        </w:rPr>
        <w:t>tion</w:t>
      </w:r>
      <w:bookmarkEnd w:id="183"/>
      <w:bookmarkEnd w:id="184"/>
      <w:bookmarkEnd w:id="185"/>
    </w:p>
    <w:p w14:paraId="4E8C9FE7" w14:textId="77777777" w:rsidR="005436E2" w:rsidRPr="00BD1E90" w:rsidRDefault="005436E2" w:rsidP="005436E2">
      <w:pPr>
        <w:spacing w:after="0" w:line="240" w:lineRule="auto"/>
        <w:rPr>
          <w:lang w:val="en-US"/>
        </w:rPr>
      </w:pPr>
    </w:p>
    <w:p w14:paraId="03DF4EEB" w14:textId="05A35AA3" w:rsidR="005436E2" w:rsidRPr="00BD1E90" w:rsidRDefault="005436E2" w:rsidP="005436E2">
      <w:pPr>
        <w:spacing w:after="0" w:line="240" w:lineRule="auto"/>
        <w:rPr>
          <w:lang w:val="en-US"/>
        </w:rPr>
      </w:pPr>
      <w:r w:rsidRPr="00BD1E90">
        <w:rPr>
          <w:lang w:val="en-US"/>
        </w:rPr>
        <w:t xml:space="preserve">When a project is presented to CAF for financing, the documentation related to the evaluation of impacts, risks, and environmental and social opportunities, and their management plans presented by the project's proponent it must specify if there are indigenous or Afro-American communities in the Project's direct or indirect area, or if any of these communities has links to the territories of said communities. If there are communities or territories with which these communities have links, the documents stated in the </w:t>
      </w:r>
      <w:r w:rsidR="00244D61" w:rsidRPr="00BD1E90">
        <w:rPr>
          <w:lang w:val="en-US"/>
        </w:rPr>
        <w:t>above-mentioned</w:t>
      </w:r>
      <w:r w:rsidRPr="00BD1E90">
        <w:rPr>
          <w:lang w:val="en-US"/>
        </w:rPr>
        <w:t xml:space="preserve"> section must be presented.  </w:t>
      </w:r>
    </w:p>
    <w:p w14:paraId="28E3335D" w14:textId="77777777" w:rsidR="005436E2" w:rsidRPr="00BD1E90" w:rsidRDefault="005436E2" w:rsidP="005436E2">
      <w:pPr>
        <w:spacing w:after="0" w:line="240" w:lineRule="auto"/>
        <w:rPr>
          <w:lang w:val="en-US"/>
        </w:rPr>
      </w:pPr>
    </w:p>
    <w:p w14:paraId="2F362DC9" w14:textId="77777777" w:rsidR="005436E2" w:rsidRPr="00BD1E90" w:rsidRDefault="005436E2" w:rsidP="005436E2">
      <w:pPr>
        <w:spacing w:after="0" w:line="240" w:lineRule="auto"/>
        <w:rPr>
          <w:lang w:val="en-US"/>
        </w:rPr>
      </w:pPr>
      <w:r w:rsidRPr="00BD1E90">
        <w:rPr>
          <w:lang w:val="en-US"/>
        </w:rPr>
        <w:t xml:space="preserve">If the project's proponent has not completed some of these documents when presenting the project to CAF, the necessary actions will be agreed upon for the development of the necessary studies, and of the Plan for the Ethnic Group. All of this must be prepared and approved by CAF before the start of the execution of the project, an aspect which will be established in the environmental and social conditions of the credit contract. When a project includes several subprojects or annual investments that are not defined at the time of the project's presentation to CAF, when each sub project is defined, an analysis must be carried out to identify if there are ethnic groups in its direct or indirect area of influence </w:t>
      </w:r>
      <w:proofErr w:type="gramStart"/>
      <w:r w:rsidRPr="00BD1E90">
        <w:rPr>
          <w:lang w:val="en-US"/>
        </w:rPr>
        <w:t>in order to</w:t>
      </w:r>
      <w:proofErr w:type="gramEnd"/>
      <w:r w:rsidRPr="00BD1E90">
        <w:rPr>
          <w:lang w:val="en-US"/>
        </w:rPr>
        <w:t xml:space="preserve"> apply this safeguard. All these agreements will be reflected in the credit contract, which will include specific clauses for non-compliance by the project's executing agent.</w:t>
      </w:r>
    </w:p>
    <w:p w14:paraId="4C8737EF" w14:textId="77777777" w:rsidR="005436E2" w:rsidRPr="00BD1E90" w:rsidRDefault="005436E2" w:rsidP="005436E2">
      <w:pPr>
        <w:spacing w:after="0" w:line="240" w:lineRule="auto"/>
        <w:rPr>
          <w:lang w:val="en-US"/>
        </w:rPr>
      </w:pPr>
    </w:p>
    <w:p w14:paraId="7A79A356" w14:textId="34263979" w:rsidR="005436E2" w:rsidRPr="00BD1E90" w:rsidRDefault="005436E2" w:rsidP="005436E2">
      <w:pPr>
        <w:pStyle w:val="Ttulo2"/>
        <w:spacing w:before="0" w:after="0" w:line="240" w:lineRule="auto"/>
        <w:rPr>
          <w:szCs w:val="22"/>
          <w:lang w:val="en-US"/>
        </w:rPr>
      </w:pPr>
      <w:bookmarkStart w:id="186" w:name="_Toc476299591"/>
      <w:bookmarkStart w:id="187" w:name="_Toc109751758"/>
      <w:bookmarkStart w:id="188" w:name="_Toc114079896"/>
      <w:bookmarkStart w:id="189" w:name="_Toc114152247"/>
      <w:r w:rsidRPr="00BD1E90">
        <w:rPr>
          <w:szCs w:val="22"/>
          <w:lang w:val="en-US"/>
        </w:rPr>
        <w:t>Formalization</w:t>
      </w:r>
      <w:bookmarkEnd w:id="186"/>
      <w:bookmarkEnd w:id="187"/>
      <w:bookmarkEnd w:id="188"/>
      <w:bookmarkEnd w:id="189"/>
    </w:p>
    <w:p w14:paraId="277C2071" w14:textId="77777777" w:rsidR="005436E2" w:rsidRPr="00BD1E90" w:rsidRDefault="005436E2" w:rsidP="005436E2">
      <w:pPr>
        <w:spacing w:after="0" w:line="240" w:lineRule="auto"/>
        <w:rPr>
          <w:lang w:val="en-US" w:eastAsia="es-ES"/>
        </w:rPr>
      </w:pPr>
    </w:p>
    <w:p w14:paraId="5FF54ED0" w14:textId="1634A6A9" w:rsidR="005436E2" w:rsidRDefault="005436E2" w:rsidP="005436E2">
      <w:pPr>
        <w:spacing w:after="0" w:line="240" w:lineRule="auto"/>
        <w:rPr>
          <w:lang w:val="en-US"/>
        </w:rPr>
      </w:pPr>
      <w:r w:rsidRPr="00BD1E90">
        <w:rPr>
          <w:lang w:val="en-US"/>
        </w:rPr>
        <w:t xml:space="preserve">The formalization phase will ensure that a strict compliance of the Plan for the Ethnic Group is compulsory for the client.  </w:t>
      </w:r>
    </w:p>
    <w:p w14:paraId="7CEA6BDF" w14:textId="77777777" w:rsidR="00BD1E90" w:rsidRPr="00BD1E90" w:rsidRDefault="00BD1E90" w:rsidP="005436E2">
      <w:pPr>
        <w:spacing w:after="0" w:line="240" w:lineRule="auto"/>
        <w:rPr>
          <w:lang w:val="en-US"/>
        </w:rPr>
      </w:pPr>
    </w:p>
    <w:p w14:paraId="2A5849F1" w14:textId="1DA19463" w:rsidR="005436E2" w:rsidRPr="00BD1E90" w:rsidRDefault="005436E2" w:rsidP="005436E2">
      <w:pPr>
        <w:pStyle w:val="Ttulo2"/>
        <w:spacing w:before="0" w:after="0" w:line="240" w:lineRule="auto"/>
        <w:rPr>
          <w:szCs w:val="22"/>
          <w:lang w:val="en-US"/>
        </w:rPr>
      </w:pPr>
      <w:bookmarkStart w:id="190" w:name="_Toc476299592"/>
      <w:bookmarkStart w:id="191" w:name="_Toc109751759"/>
      <w:bookmarkStart w:id="192" w:name="_Toc114079897"/>
      <w:bookmarkStart w:id="193" w:name="_Toc114152248"/>
      <w:r w:rsidRPr="00BD1E90">
        <w:rPr>
          <w:szCs w:val="22"/>
          <w:lang w:val="en-US"/>
        </w:rPr>
        <w:t>Administration</w:t>
      </w:r>
      <w:bookmarkEnd w:id="190"/>
      <w:bookmarkEnd w:id="191"/>
      <w:bookmarkEnd w:id="192"/>
      <w:bookmarkEnd w:id="193"/>
    </w:p>
    <w:p w14:paraId="1819617E" w14:textId="77777777" w:rsidR="005436E2" w:rsidRPr="00BD1E90" w:rsidRDefault="005436E2" w:rsidP="005436E2">
      <w:pPr>
        <w:spacing w:after="0" w:line="240" w:lineRule="auto"/>
        <w:rPr>
          <w:lang w:val="en-US"/>
        </w:rPr>
      </w:pPr>
    </w:p>
    <w:p w14:paraId="20BDE86E" w14:textId="77777777" w:rsidR="005436E2" w:rsidRPr="00BD1E90" w:rsidRDefault="005436E2" w:rsidP="005436E2">
      <w:pPr>
        <w:spacing w:after="0" w:line="240" w:lineRule="auto"/>
        <w:rPr>
          <w:lang w:val="en-US"/>
        </w:rPr>
      </w:pPr>
      <w:r w:rsidRPr="00BD1E90">
        <w:rPr>
          <w:lang w:val="en-US"/>
        </w:rPr>
        <w:t xml:space="preserve">Once the operation has been approved, the client will develop actions to comply with the agreements established in the credit contract regarding this matter and will execute the Plan for the Ethnic Group. The client must also conduct a participative monitoring of the execution of the Plan to determine the degree of advance and the need to take corrective measures if necessary. The client will periodically prepare a follow-up and monitoring report of the Plan, stating the activities carried out and the level of achievement of the proposed objectives. The follow-up and monitoring reports, specific for the Plan for the Ethnic group, will be presented to CAF, to the communities involved, and to interested actors. CAF will review these reports and may propose corrective measures, if necessary.  </w:t>
      </w:r>
    </w:p>
    <w:p w14:paraId="308A8CA5" w14:textId="77777777" w:rsidR="005436E2" w:rsidRPr="00BD1E90" w:rsidRDefault="005436E2" w:rsidP="005436E2">
      <w:pPr>
        <w:spacing w:after="0" w:line="240" w:lineRule="auto"/>
        <w:rPr>
          <w:lang w:val="en-US"/>
        </w:rPr>
      </w:pPr>
    </w:p>
    <w:p w14:paraId="4E4250C2" w14:textId="77777777" w:rsidR="005436E2" w:rsidRPr="00BD1E90" w:rsidRDefault="005436E2" w:rsidP="005436E2">
      <w:pPr>
        <w:spacing w:after="0" w:line="240" w:lineRule="auto"/>
        <w:rPr>
          <w:lang w:val="en-US"/>
        </w:rPr>
      </w:pPr>
      <w:r w:rsidRPr="00BD1E90">
        <w:rPr>
          <w:lang w:val="en-US"/>
        </w:rPr>
        <w:t xml:space="preserve">At the close of the project, the executing agent must evaluate the Plan for the Ethnic Group in a participative manner, </w:t>
      </w:r>
      <w:proofErr w:type="gramStart"/>
      <w:r w:rsidRPr="00BD1E90">
        <w:rPr>
          <w:lang w:val="en-US"/>
        </w:rPr>
        <w:t>in order to</w:t>
      </w:r>
      <w:proofErr w:type="gramEnd"/>
      <w:r w:rsidRPr="00BD1E90">
        <w:rPr>
          <w:lang w:val="en-US"/>
        </w:rPr>
        <w:t xml:space="preserve"> determine if the proposed objectives were achieved. The final report of the evaluation must be available for the communities involved and the interested actors. CAF will review the evaluation report of the management measures prepared by the Project's executing agent and may agree on </w:t>
      </w:r>
      <w:proofErr w:type="spellStart"/>
      <w:proofErr w:type="gramStart"/>
      <w:r w:rsidRPr="00BD1E90">
        <w:rPr>
          <w:lang w:val="en-US"/>
        </w:rPr>
        <w:t>a</w:t>
      </w:r>
      <w:proofErr w:type="spellEnd"/>
      <w:proofErr w:type="gramEnd"/>
      <w:r w:rsidRPr="00BD1E90">
        <w:rPr>
          <w:lang w:val="en-US"/>
        </w:rPr>
        <w:t xml:space="preserve"> additional measures for compliance with the objectives established in this safe guard, if necessary.  </w:t>
      </w:r>
    </w:p>
    <w:p w14:paraId="612112DE" w14:textId="77777777" w:rsidR="005436E2" w:rsidRPr="00BD1E90" w:rsidRDefault="005436E2" w:rsidP="005436E2">
      <w:pPr>
        <w:spacing w:after="0" w:line="240" w:lineRule="auto"/>
        <w:rPr>
          <w:lang w:val="en-US"/>
        </w:rPr>
      </w:pPr>
    </w:p>
    <w:p w14:paraId="4CDDBA2C" w14:textId="77777777" w:rsidR="005436E2" w:rsidRPr="00BD1E90" w:rsidRDefault="005436E2" w:rsidP="005436E2">
      <w:pPr>
        <w:spacing w:after="0" w:line="240" w:lineRule="auto"/>
        <w:rPr>
          <w:lang w:val="en-US"/>
        </w:rPr>
      </w:pPr>
      <w:r w:rsidRPr="00BD1E90">
        <w:rPr>
          <w:lang w:val="en-US"/>
        </w:rPr>
        <w:t>CAF will prepare a closing report of the project, specifying the level of achievement of the objectives proposed in the Plan for the Ethnic Group, as well as the lessons learned for future projects</w:t>
      </w:r>
    </w:p>
    <w:p w14:paraId="713BF68F" w14:textId="77777777" w:rsidR="005436E2" w:rsidRPr="00BD1E90" w:rsidRDefault="005436E2" w:rsidP="005436E2">
      <w:pPr>
        <w:spacing w:after="0" w:line="240" w:lineRule="auto"/>
      </w:pPr>
    </w:p>
    <w:p w14:paraId="7B45C515" w14:textId="18A82F7F" w:rsidR="005C4B62" w:rsidRPr="00BD1E90" w:rsidRDefault="005C4B62">
      <w:pPr>
        <w:jc w:val="left"/>
      </w:pPr>
      <w:r w:rsidRPr="00BD1E90">
        <w:br w:type="page"/>
      </w:r>
    </w:p>
    <w:p w14:paraId="4BC6783D" w14:textId="5894B119" w:rsidR="00AB7AF8" w:rsidRDefault="00AB7AF8" w:rsidP="008B415A">
      <w:pPr>
        <w:pStyle w:val="Ttulo1"/>
        <w:spacing w:before="0" w:after="0" w:line="240" w:lineRule="auto"/>
      </w:pPr>
      <w:bookmarkStart w:id="194" w:name="_Ref113608995"/>
      <w:bookmarkStart w:id="195" w:name="_Toc114152249"/>
      <w:r>
        <w:t>Annex 7: Summary of Feasibility Study for Sub-Program 2 (Annex 2 to FP)</w:t>
      </w:r>
      <w:bookmarkEnd w:id="194"/>
      <w:bookmarkEnd w:id="195"/>
    </w:p>
    <w:p w14:paraId="17FF86FA" w14:textId="77777777" w:rsidR="00AB7AF8" w:rsidRDefault="00AB7AF8" w:rsidP="008B415A">
      <w:pPr>
        <w:spacing w:after="0" w:line="240" w:lineRule="auto"/>
      </w:pPr>
    </w:p>
    <w:p w14:paraId="40E9E2A3" w14:textId="77777777" w:rsidR="00AB7AF8" w:rsidRDefault="00AB7AF8" w:rsidP="008B415A">
      <w:pPr>
        <w:spacing w:after="0" w:line="240" w:lineRule="auto"/>
      </w:pPr>
      <w:r w:rsidRPr="00CA3677">
        <w:t>E-</w:t>
      </w:r>
      <w:r>
        <w:t>M</w:t>
      </w:r>
      <w:r w:rsidRPr="00CA3677">
        <w:t xml:space="preserve">otion program includes in total eleven countries where two feasibility studies have been developed in parallel to provide inputs for the final structuring of the program to be presented to the Green Climate Fund by completing each Funding Proposal (FP). Thus, the E-motion program is divided into </w:t>
      </w:r>
      <w:r w:rsidRPr="00CA3677">
        <w:rPr>
          <w:b/>
          <w:bCs/>
        </w:rPr>
        <w:t>two sub-programs</w:t>
      </w:r>
      <w:proofErr w:type="gramStart"/>
      <w:r w:rsidRPr="00CA3677">
        <w:t>, in particular, sub-</w:t>
      </w:r>
      <w:proofErr w:type="gramEnd"/>
      <w:r w:rsidRPr="00CA3677">
        <w:t xml:space="preserve">program 2 </w:t>
      </w:r>
      <w:r>
        <w:t xml:space="preserve">includes </w:t>
      </w:r>
      <w:r w:rsidRPr="00CA3677">
        <w:t>Panama, Paraguay and Uruguay.</w:t>
      </w:r>
      <w:r>
        <w:t xml:space="preserve"> </w:t>
      </w:r>
      <w:r w:rsidRPr="00456347">
        <w:t xml:space="preserve">The present document corresponds to the </w:t>
      </w:r>
      <w:r w:rsidRPr="00456347">
        <w:rPr>
          <w:b/>
          <w:bCs/>
        </w:rPr>
        <w:t xml:space="preserve">Sub Program 2 Structuration </w:t>
      </w:r>
      <w:r w:rsidRPr="00456347">
        <w:t xml:space="preserve">which has the </w:t>
      </w:r>
      <w:r w:rsidRPr="00456347">
        <w:rPr>
          <w:b/>
          <w:bCs/>
        </w:rPr>
        <w:t>general</w:t>
      </w:r>
      <w:r w:rsidRPr="00456347">
        <w:t xml:space="preserve"> </w:t>
      </w:r>
      <w:r w:rsidRPr="00456347">
        <w:rPr>
          <w:b/>
          <w:bCs/>
        </w:rPr>
        <w:t xml:space="preserve">objectives </w:t>
      </w:r>
      <w:r w:rsidRPr="00456347">
        <w:t xml:space="preserve">of developing a proposal for the </w:t>
      </w:r>
      <w:r w:rsidRPr="00456347">
        <w:rPr>
          <w:b/>
          <w:bCs/>
        </w:rPr>
        <w:t>technical</w:t>
      </w:r>
      <w:r w:rsidRPr="00456347">
        <w:t xml:space="preserve"> and </w:t>
      </w:r>
      <w:r w:rsidRPr="00456347">
        <w:rPr>
          <w:b/>
          <w:bCs/>
        </w:rPr>
        <w:t>financial</w:t>
      </w:r>
      <w:r w:rsidRPr="00456347">
        <w:t xml:space="preserve"> design of this sub-program, based on the results taken from the country level reports (</w:t>
      </w:r>
      <w:r>
        <w:t>see Annex 1, 2 and 3</w:t>
      </w:r>
      <w:r w:rsidRPr="00456347">
        <w:t>) and the impacts assessment report (</w:t>
      </w:r>
      <w:r>
        <w:t>see Annex 4</w:t>
      </w:r>
      <w:r w:rsidRPr="00456347">
        <w:t xml:space="preserve">).  </w:t>
      </w:r>
    </w:p>
    <w:p w14:paraId="7E52E863" w14:textId="77777777" w:rsidR="008B415A" w:rsidRPr="00456347" w:rsidRDefault="008B415A" w:rsidP="008B415A">
      <w:pPr>
        <w:spacing w:after="0" w:line="240" w:lineRule="auto"/>
      </w:pPr>
    </w:p>
    <w:p w14:paraId="40C89175" w14:textId="77777777" w:rsidR="00AB7AF8" w:rsidRPr="008B415A" w:rsidRDefault="00AB7AF8" w:rsidP="008B415A">
      <w:pPr>
        <w:pStyle w:val="Ttulo2"/>
        <w:numPr>
          <w:ilvl w:val="0"/>
          <w:numId w:val="0"/>
        </w:numPr>
        <w:spacing w:before="0" w:after="0" w:line="240" w:lineRule="auto"/>
        <w:rPr>
          <w:b/>
          <w:bCs/>
        </w:rPr>
      </w:pPr>
      <w:bookmarkStart w:id="196" w:name="_Toc114079899"/>
      <w:bookmarkStart w:id="197" w:name="_Toc114152250"/>
      <w:r w:rsidRPr="008B415A">
        <w:rPr>
          <w:b/>
          <w:bCs/>
        </w:rPr>
        <w:t>TECHNICAL STRUCTURATION</w:t>
      </w:r>
      <w:bookmarkEnd w:id="196"/>
      <w:bookmarkEnd w:id="197"/>
    </w:p>
    <w:p w14:paraId="7C6B3B24" w14:textId="77777777" w:rsidR="008B415A" w:rsidRDefault="008B415A" w:rsidP="008B415A">
      <w:pPr>
        <w:spacing w:after="0" w:line="240" w:lineRule="auto"/>
      </w:pPr>
    </w:p>
    <w:p w14:paraId="69811110" w14:textId="55CEDFC4" w:rsidR="00AB7AF8" w:rsidRDefault="00AB7AF8" w:rsidP="008B415A">
      <w:pPr>
        <w:spacing w:after="0" w:line="240" w:lineRule="auto"/>
      </w:pPr>
      <w:r w:rsidRPr="00CA3677">
        <w:t xml:space="preserve">After carrying out the activities at the country level, in addition to multiple validation instances with the technical teams of each country and the market study performed, the proposal for the E-motion investment periods within </w:t>
      </w:r>
      <w:r>
        <w:t>S</w:t>
      </w:r>
      <w:r w:rsidRPr="00CA3677">
        <w:t>ub-</w:t>
      </w:r>
      <w:r>
        <w:t>P</w:t>
      </w:r>
      <w:r w:rsidRPr="00CA3677">
        <w:t>rogram 2 should be allocated in the first 5 years: starting in 202</w:t>
      </w:r>
      <w:r>
        <w:t>3</w:t>
      </w:r>
      <w:r w:rsidRPr="00CA3677">
        <w:t xml:space="preserve"> up to 202</w:t>
      </w:r>
      <w:r>
        <w:t>8</w:t>
      </w:r>
      <w:r w:rsidRPr="00CA3677">
        <w:t xml:space="preserve">. Concessional loans for financial </w:t>
      </w:r>
      <w:r>
        <w:t xml:space="preserve">assistance </w:t>
      </w:r>
      <w:r w:rsidRPr="00CA3677">
        <w:t xml:space="preserve">and </w:t>
      </w:r>
      <w:r>
        <w:t xml:space="preserve">grants for </w:t>
      </w:r>
      <w:r w:rsidRPr="00CA3677">
        <w:t>technical assistance are required to kick-start mass EV deployment in this decade as higher upfront EV costs are the main barrier indicated by country’s stakeholders (interviews and market study).</w:t>
      </w:r>
      <w:r>
        <w:t xml:space="preserve"> </w:t>
      </w:r>
      <w:r>
        <w:fldChar w:fldCharType="begin"/>
      </w:r>
      <w:r>
        <w:instrText xml:space="preserve"> REF _Ref69835631 \h </w:instrText>
      </w:r>
      <w:r>
        <w:fldChar w:fldCharType="separate"/>
      </w:r>
      <w:r>
        <w:t xml:space="preserve">Figure </w:t>
      </w:r>
      <w:r>
        <w:rPr>
          <w:noProof/>
        </w:rPr>
        <w:t>3</w:t>
      </w:r>
      <w:r>
        <w:fldChar w:fldCharType="end"/>
      </w:r>
      <w:r>
        <w:t xml:space="preserve"> and </w:t>
      </w:r>
      <w:r>
        <w:fldChar w:fldCharType="begin"/>
      </w:r>
      <w:r>
        <w:instrText xml:space="preserve"> REF _Ref69835634 \h </w:instrText>
      </w:r>
      <w:r>
        <w:fldChar w:fldCharType="separate"/>
      </w:r>
      <w:r>
        <w:t xml:space="preserve">Figure </w:t>
      </w:r>
      <w:r>
        <w:rPr>
          <w:noProof/>
        </w:rPr>
        <w:t>4</w:t>
      </w:r>
      <w:r>
        <w:fldChar w:fldCharType="end"/>
      </w:r>
      <w:r>
        <w:t xml:space="preserve"> show t</w:t>
      </w:r>
      <w:r w:rsidRPr="00CA3677">
        <w:t>he implementing period with regards to the BEB and e-public fleet adoption targets included in sub-program 2</w:t>
      </w:r>
      <w:r>
        <w:t>. Projects with high level of maturity would be able to start from quarter 2 (Q2) of 2023 in best scenario</w:t>
      </w:r>
      <w:r w:rsidRPr="00CA3677">
        <w:t xml:space="preserve">. </w:t>
      </w:r>
      <w:r w:rsidRPr="00CA7058">
        <w:t xml:space="preserve">As it can be seen in </w:t>
      </w:r>
      <w:r w:rsidRPr="00CA7058">
        <w:fldChar w:fldCharType="begin"/>
      </w:r>
      <w:r w:rsidRPr="00CA7058">
        <w:instrText xml:space="preserve"> REF _Ref69835631 \h  \* MERGEFORMAT </w:instrText>
      </w:r>
      <w:r w:rsidRPr="00CA7058">
        <w:fldChar w:fldCharType="separate"/>
      </w:r>
      <w:r>
        <w:t xml:space="preserve">Figure </w:t>
      </w:r>
      <w:r>
        <w:rPr>
          <w:noProof/>
        </w:rPr>
        <w:t>3</w:t>
      </w:r>
      <w:r w:rsidRPr="00CA7058">
        <w:fldChar w:fldCharType="end"/>
      </w:r>
      <w:r w:rsidRPr="00CA7058">
        <w:t xml:space="preserve"> for BEB, the program funding will end in 2026 for PA, 2027 in UY and 2028 in PY (more buses). </w:t>
      </w:r>
      <w:r w:rsidRPr="0018725E">
        <w:t>In the case of e-public fleets (</w:t>
      </w:r>
      <w:r w:rsidRPr="0018725E">
        <w:fldChar w:fldCharType="begin"/>
      </w:r>
      <w:r w:rsidRPr="0018725E">
        <w:instrText xml:space="preserve"> REF _Ref69835634 \h  \* MERGEFORMAT </w:instrText>
      </w:r>
      <w:r w:rsidRPr="0018725E">
        <w:fldChar w:fldCharType="separate"/>
      </w:r>
      <w:r>
        <w:t xml:space="preserve">Figure </w:t>
      </w:r>
      <w:r>
        <w:rPr>
          <w:noProof/>
        </w:rPr>
        <w:t>4</w:t>
      </w:r>
      <w:r w:rsidRPr="0018725E">
        <w:fldChar w:fldCharType="end"/>
      </w:r>
      <w:r w:rsidRPr="0018725E">
        <w:t>), program funding would end by 202</w:t>
      </w:r>
      <w:r>
        <w:t>7</w:t>
      </w:r>
      <w:r w:rsidRPr="0018725E">
        <w:t xml:space="preserve"> in PA and PY (more units), and by 202</w:t>
      </w:r>
      <w:r>
        <w:t>6</w:t>
      </w:r>
      <w:r w:rsidRPr="0018725E">
        <w:t xml:space="preserve"> in UY.</w:t>
      </w:r>
    </w:p>
    <w:p w14:paraId="4135A6FC" w14:textId="77777777" w:rsidR="008B415A" w:rsidRDefault="008B415A" w:rsidP="008B415A">
      <w:pPr>
        <w:spacing w:after="0" w:line="240" w:lineRule="auto"/>
      </w:pPr>
    </w:p>
    <w:p w14:paraId="177891AB" w14:textId="77777777" w:rsidR="00AB7AF8" w:rsidRDefault="00AB7AF8" w:rsidP="008B415A">
      <w:pPr>
        <w:spacing w:after="0" w:line="240" w:lineRule="auto"/>
      </w:pPr>
      <w:bookmarkStart w:id="198" w:name="_Ref69835631"/>
      <w:r>
        <w:t xml:space="preserve">Figure </w:t>
      </w:r>
      <w:r w:rsidR="00203008">
        <w:fldChar w:fldCharType="begin"/>
      </w:r>
      <w:r w:rsidR="00203008">
        <w:instrText xml:space="preserve"> SEQ Figure \* ARABIC </w:instrText>
      </w:r>
      <w:r w:rsidR="00203008">
        <w:fldChar w:fldCharType="separate"/>
      </w:r>
      <w:r>
        <w:rPr>
          <w:noProof/>
        </w:rPr>
        <w:t>3</w:t>
      </w:r>
      <w:r w:rsidR="00203008">
        <w:rPr>
          <w:noProof/>
        </w:rPr>
        <w:fldChar w:fldCharType="end"/>
      </w:r>
      <w:bookmarkEnd w:id="198"/>
      <w:r>
        <w:t>:</w:t>
      </w:r>
      <w:r w:rsidRPr="008D0BD8">
        <w:t xml:space="preserve"> </w:t>
      </w:r>
      <w:r w:rsidRPr="00CA3677">
        <w:t>E-motion implementing period and quantities for BEB, sub-program 2 countries. Source: own elaboration</w:t>
      </w:r>
    </w:p>
    <w:p w14:paraId="04C34CE7" w14:textId="77777777" w:rsidR="008B415A" w:rsidRDefault="008B415A" w:rsidP="008B415A">
      <w:pPr>
        <w:spacing w:after="0" w:line="240" w:lineRule="auto"/>
      </w:pPr>
    </w:p>
    <w:p w14:paraId="07791475" w14:textId="32FC8376" w:rsidR="00AB7AF8" w:rsidRPr="00CA3677" w:rsidRDefault="00AB7AF8" w:rsidP="008B415A">
      <w:pPr>
        <w:spacing w:after="0" w:line="240" w:lineRule="auto"/>
        <w:jc w:val="center"/>
      </w:pPr>
      <w:r w:rsidRPr="00556847">
        <w:rPr>
          <w:noProof/>
        </w:rPr>
        <w:t xml:space="preserve"> </w:t>
      </w:r>
      <w:r w:rsidRPr="00083999">
        <w:rPr>
          <w:noProof/>
        </w:rPr>
        <w:drawing>
          <wp:inline distT="0" distB="0" distL="0" distR="0" wp14:anchorId="46280BCE" wp14:editId="057A0668">
            <wp:extent cx="4791710" cy="331266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97141" cy="3316423"/>
                    </a:xfrm>
                    <a:prstGeom prst="rect">
                      <a:avLst/>
                    </a:prstGeom>
                  </pic:spPr>
                </pic:pic>
              </a:graphicData>
            </a:graphic>
          </wp:inline>
        </w:drawing>
      </w:r>
    </w:p>
    <w:p w14:paraId="1F519708" w14:textId="77777777" w:rsidR="00AB7AF8" w:rsidRDefault="00AB7AF8" w:rsidP="008B415A">
      <w:pPr>
        <w:keepNext/>
        <w:spacing w:after="0" w:line="240" w:lineRule="auto"/>
      </w:pPr>
      <w:bookmarkStart w:id="199" w:name="_Ref69835634"/>
      <w:r>
        <w:t xml:space="preserve">Figure </w:t>
      </w:r>
      <w:r w:rsidR="00203008">
        <w:fldChar w:fldCharType="begin"/>
      </w:r>
      <w:r w:rsidR="00203008">
        <w:instrText xml:space="preserve"> SEQ Figure \* ARABIC </w:instrText>
      </w:r>
      <w:r w:rsidR="00203008">
        <w:fldChar w:fldCharType="separate"/>
      </w:r>
      <w:r>
        <w:rPr>
          <w:noProof/>
        </w:rPr>
        <w:t>4</w:t>
      </w:r>
      <w:r w:rsidR="00203008">
        <w:rPr>
          <w:noProof/>
        </w:rPr>
        <w:fldChar w:fldCharType="end"/>
      </w:r>
      <w:bookmarkEnd w:id="199"/>
      <w:r>
        <w:t xml:space="preserve">: </w:t>
      </w:r>
      <w:r w:rsidRPr="00CA3677">
        <w:t>E-motion implementing period and quantities for e-public fleets, sub-program 2 countries. Source: own elaboration</w:t>
      </w:r>
    </w:p>
    <w:p w14:paraId="7E71EA96" w14:textId="77777777" w:rsidR="008B415A" w:rsidRPr="00CA3677" w:rsidRDefault="008B415A" w:rsidP="008B415A">
      <w:pPr>
        <w:keepNext/>
        <w:spacing w:after="0" w:line="240" w:lineRule="auto"/>
      </w:pPr>
    </w:p>
    <w:p w14:paraId="181BCC53" w14:textId="21A7DCED" w:rsidR="00AB7AF8" w:rsidRPr="00E212BD" w:rsidRDefault="00AB7AF8" w:rsidP="008B415A">
      <w:pPr>
        <w:spacing w:after="0" w:line="240" w:lineRule="auto"/>
        <w:jc w:val="center"/>
      </w:pPr>
      <w:r w:rsidRPr="006B0636">
        <w:rPr>
          <w:noProof/>
        </w:rPr>
        <w:drawing>
          <wp:inline distT="0" distB="0" distL="0" distR="0" wp14:anchorId="51781E90" wp14:editId="679AE76B">
            <wp:extent cx="5542528" cy="28806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t="3682"/>
                    <a:stretch/>
                  </pic:blipFill>
                  <pic:spPr bwMode="auto">
                    <a:xfrm>
                      <a:off x="0" y="0"/>
                      <a:ext cx="5569185" cy="2894489"/>
                    </a:xfrm>
                    <a:prstGeom prst="rect">
                      <a:avLst/>
                    </a:prstGeom>
                    <a:ln>
                      <a:noFill/>
                    </a:ln>
                    <a:extLst>
                      <a:ext uri="{53640926-AAD7-44D8-BBD7-CCE9431645EC}">
                        <a14:shadowObscured xmlns:a14="http://schemas.microsoft.com/office/drawing/2010/main"/>
                      </a:ext>
                    </a:extLst>
                  </pic:spPr>
                </pic:pic>
              </a:graphicData>
            </a:graphic>
          </wp:inline>
        </w:drawing>
      </w:r>
    </w:p>
    <w:p w14:paraId="167FCA68" w14:textId="77777777" w:rsidR="008B415A" w:rsidRDefault="008B415A" w:rsidP="008B415A">
      <w:pPr>
        <w:spacing w:after="0" w:line="240" w:lineRule="auto"/>
      </w:pPr>
    </w:p>
    <w:p w14:paraId="7D7A4B63" w14:textId="5F4FE136" w:rsidR="00AB7AF8" w:rsidRDefault="00AB7AF8" w:rsidP="008B415A">
      <w:pPr>
        <w:spacing w:after="0" w:line="240" w:lineRule="auto"/>
      </w:pPr>
      <w:r w:rsidRPr="00CA3677">
        <w:t>Implementing period for fast charging network</w:t>
      </w:r>
      <w:r>
        <w:t xml:space="preserve"> </w:t>
      </w:r>
      <w:r w:rsidRPr="00CA3677">
        <w:t>and e-LCVs are highly concatenated for PA and PY cases, as their current public charging stations are incipient. However, in UY there are already a public charging network, and UY need complement it with a fast-charging network, according to UTE interviews</w:t>
      </w:r>
      <w:r>
        <w:t xml:space="preserve"> they would need first a TA for developing a strategic plan for public fast charging stations where E-motion would also contribute</w:t>
      </w:r>
      <w:r w:rsidRPr="00CA3677">
        <w:t xml:space="preserve">. </w:t>
      </w:r>
      <w:r>
        <w:fldChar w:fldCharType="begin"/>
      </w:r>
      <w:r>
        <w:instrText xml:space="preserve"> REF _Ref69835817 \h </w:instrText>
      </w:r>
      <w:r>
        <w:fldChar w:fldCharType="separate"/>
      </w:r>
      <w:r>
        <w:t xml:space="preserve">Figure </w:t>
      </w:r>
      <w:r>
        <w:rPr>
          <w:noProof/>
        </w:rPr>
        <w:t>5</w:t>
      </w:r>
      <w:r>
        <w:fldChar w:fldCharType="end"/>
      </w:r>
      <w:r>
        <w:t xml:space="preserve"> </w:t>
      </w:r>
      <w:r w:rsidRPr="00CA3677">
        <w:t xml:space="preserve">shows the implementing period with regards to the fast-charging </w:t>
      </w:r>
      <w:r>
        <w:t>stations</w:t>
      </w:r>
      <w:r w:rsidRPr="00CA3677">
        <w:t xml:space="preserve"> (20 units by country)</w:t>
      </w:r>
      <w:r>
        <w:t xml:space="preserve"> </w:t>
      </w:r>
      <w:r w:rsidRPr="00CA3677">
        <w:t xml:space="preserve">and e-LCV adoption targets included in sub-program 2. As it can be seen e-LCVs, </w:t>
      </w:r>
      <w:r>
        <w:t>program funding</w:t>
      </w:r>
      <w:r w:rsidRPr="00CA3677">
        <w:t xml:space="preserve"> would end by </w:t>
      </w:r>
      <w:r w:rsidRPr="00C03A21">
        <w:t>2027 in PA and PY, and by 2026 in UY. Fast charging network should be implemented in year 2 up to year 4 (design and implementing).</w:t>
      </w:r>
    </w:p>
    <w:p w14:paraId="62C430F4" w14:textId="77777777" w:rsidR="008B415A" w:rsidRDefault="008B415A" w:rsidP="008B415A">
      <w:pPr>
        <w:spacing w:after="0" w:line="240" w:lineRule="auto"/>
      </w:pPr>
    </w:p>
    <w:p w14:paraId="5F6FC3E7" w14:textId="028B4481" w:rsidR="008B415A" w:rsidRDefault="00AB7AF8" w:rsidP="008B415A">
      <w:pPr>
        <w:spacing w:after="0" w:line="240" w:lineRule="auto"/>
      </w:pPr>
      <w:r>
        <w:t>By</w:t>
      </w:r>
      <w:r w:rsidRPr="00CA3677">
        <w:t xml:space="preserve"> year</w:t>
      </w:r>
      <w:r>
        <w:t xml:space="preserve"> 2028</w:t>
      </w:r>
      <w:r w:rsidRPr="00CA3677">
        <w:t>, E-</w:t>
      </w:r>
      <w:r>
        <w:t>M</w:t>
      </w:r>
      <w:r w:rsidRPr="00CA3677">
        <w:t xml:space="preserve">otion </w:t>
      </w:r>
      <w:r>
        <w:t>S</w:t>
      </w:r>
      <w:r w:rsidRPr="00CA3677">
        <w:t>ub-</w:t>
      </w:r>
      <w:r>
        <w:t>P</w:t>
      </w:r>
      <w:r w:rsidRPr="00CA3677">
        <w:t xml:space="preserve">rogram 2 should have financed </w:t>
      </w:r>
      <w:r>
        <w:t>6</w:t>
      </w:r>
      <w:r w:rsidRPr="00CA3677">
        <w:t xml:space="preserve">50 BEB, 900 e-public fleets, 250 e-LCVs and 60 public fast chargers. Afterwards, </w:t>
      </w:r>
      <w:r w:rsidR="00143368">
        <w:t>EVs</w:t>
      </w:r>
      <w:r w:rsidRPr="00CA3677">
        <w:t xml:space="preserve"> adoption would continue towards mass adoption as upfront cost of the electromobility technologies would have decreased and it is projected to have cost parity between </w:t>
      </w:r>
      <w:r w:rsidR="00143368">
        <w:t>EVs</w:t>
      </w:r>
      <w:r w:rsidRPr="00CA3677">
        <w:t xml:space="preserve"> and ICEs by this period.</w:t>
      </w:r>
      <w:bookmarkStart w:id="200" w:name="_Ref69835817"/>
    </w:p>
    <w:p w14:paraId="073C9BDB" w14:textId="77777777" w:rsidR="008B415A" w:rsidRDefault="008B415A" w:rsidP="008B415A">
      <w:pPr>
        <w:spacing w:after="0" w:line="240" w:lineRule="auto"/>
      </w:pPr>
    </w:p>
    <w:p w14:paraId="5B185031" w14:textId="57A49187" w:rsidR="00AB7AF8" w:rsidRDefault="00AB7AF8" w:rsidP="008B415A">
      <w:pPr>
        <w:spacing w:after="0" w:line="240" w:lineRule="auto"/>
      </w:pPr>
      <w:r>
        <w:t xml:space="preserve">Figure </w:t>
      </w:r>
      <w:r w:rsidR="00203008">
        <w:fldChar w:fldCharType="begin"/>
      </w:r>
      <w:r w:rsidR="00203008">
        <w:instrText xml:space="preserve"> SEQ Figure \* ARABIC </w:instrText>
      </w:r>
      <w:r w:rsidR="00203008">
        <w:fldChar w:fldCharType="separate"/>
      </w:r>
      <w:r>
        <w:rPr>
          <w:noProof/>
        </w:rPr>
        <w:t>5</w:t>
      </w:r>
      <w:r w:rsidR="00203008">
        <w:rPr>
          <w:noProof/>
        </w:rPr>
        <w:fldChar w:fldCharType="end"/>
      </w:r>
      <w:bookmarkEnd w:id="200"/>
      <w:r>
        <w:t xml:space="preserve">: </w:t>
      </w:r>
      <w:r w:rsidRPr="00CA3677">
        <w:t>E-motion implementing period and quantities for fast charging network</w:t>
      </w:r>
      <w:r>
        <w:t xml:space="preserve"> </w:t>
      </w:r>
      <w:r w:rsidRPr="00CA3677">
        <w:t>and e-LCVs, sub-program 2 countries. Source: own elaboration</w:t>
      </w:r>
    </w:p>
    <w:p w14:paraId="4EC95173" w14:textId="49AEAB98" w:rsidR="00AB7AF8" w:rsidRPr="00CA3677" w:rsidRDefault="00AB7AF8" w:rsidP="008B415A">
      <w:pPr>
        <w:spacing w:after="0" w:line="240" w:lineRule="auto"/>
        <w:jc w:val="center"/>
      </w:pPr>
      <w:r w:rsidRPr="007B22E1">
        <w:rPr>
          <w:noProof/>
        </w:rPr>
        <w:drawing>
          <wp:inline distT="0" distB="0" distL="0" distR="0" wp14:anchorId="1B63C213" wp14:editId="7DA46C46">
            <wp:extent cx="5013159" cy="280777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2960"/>
                    <a:stretch/>
                  </pic:blipFill>
                  <pic:spPr bwMode="auto">
                    <a:xfrm>
                      <a:off x="0" y="0"/>
                      <a:ext cx="5083556" cy="2847202"/>
                    </a:xfrm>
                    <a:prstGeom prst="rect">
                      <a:avLst/>
                    </a:prstGeom>
                    <a:ln>
                      <a:noFill/>
                    </a:ln>
                    <a:extLst>
                      <a:ext uri="{53640926-AAD7-44D8-BBD7-CCE9431645EC}">
                        <a14:shadowObscured xmlns:a14="http://schemas.microsoft.com/office/drawing/2010/main"/>
                      </a:ext>
                    </a:extLst>
                  </pic:spPr>
                </pic:pic>
              </a:graphicData>
            </a:graphic>
          </wp:inline>
        </w:drawing>
      </w:r>
    </w:p>
    <w:p w14:paraId="1FE3971E" w14:textId="77777777" w:rsidR="008B415A" w:rsidRDefault="008B415A" w:rsidP="008B415A">
      <w:pPr>
        <w:spacing w:after="0" w:line="240" w:lineRule="auto"/>
        <w:rPr>
          <w:b/>
          <w:bCs/>
        </w:rPr>
      </w:pPr>
    </w:p>
    <w:p w14:paraId="1C4686F7" w14:textId="1D13E923" w:rsidR="00AB7AF8" w:rsidRDefault="00AB7AF8" w:rsidP="008B415A">
      <w:pPr>
        <w:spacing w:after="0" w:line="240" w:lineRule="auto"/>
      </w:pPr>
      <w:r w:rsidRPr="00115B1B">
        <w:rPr>
          <w:b/>
          <w:bCs/>
        </w:rPr>
        <w:t>Technical assistance package</w:t>
      </w:r>
      <w:r>
        <w:t xml:space="preserve"> was developed in detail in a country level as well as a local level. Regional level TA package is considered in E-Motion Sub-Program 1. </w:t>
      </w:r>
      <w:r>
        <w:fldChar w:fldCharType="begin"/>
      </w:r>
      <w:r>
        <w:instrText xml:space="preserve"> REF _Ref69840428 \h </w:instrText>
      </w:r>
      <w:r>
        <w:fldChar w:fldCharType="separate"/>
      </w:r>
      <w:r>
        <w:t xml:space="preserve">Figure </w:t>
      </w:r>
      <w:r>
        <w:rPr>
          <w:noProof/>
        </w:rPr>
        <w:t>6</w:t>
      </w:r>
      <w:r>
        <w:fldChar w:fldCharType="end"/>
      </w:r>
      <w:r>
        <w:t xml:space="preserve"> </w:t>
      </w:r>
      <w:r w:rsidRPr="00CA3677">
        <w:t xml:space="preserve">shows the implementing period </w:t>
      </w:r>
      <w:r>
        <w:t xml:space="preserve">preliminary </w:t>
      </w:r>
      <w:r w:rsidRPr="0056221C">
        <w:rPr>
          <w:szCs w:val="20"/>
        </w:rPr>
        <w:t>estimated and budget</w:t>
      </w:r>
      <w:r w:rsidRPr="00FF5E9B">
        <w:rPr>
          <w:rStyle w:val="Refdenotaalpie"/>
          <w:rFonts w:ascii="Century Gothic" w:hAnsi="Century Gothic"/>
          <w:sz w:val="20"/>
          <w:szCs w:val="20"/>
        </w:rPr>
        <w:footnoteReference w:id="39"/>
      </w:r>
      <w:r w:rsidRPr="0056221C">
        <w:rPr>
          <w:szCs w:val="20"/>
        </w:rPr>
        <w:t xml:space="preserve"> required with regards</w:t>
      </w:r>
      <w:r w:rsidRPr="00CA3677">
        <w:t xml:space="preserve"> to the TA package included in sub-program 2. As it can be seen TAs in </w:t>
      </w:r>
      <w:r>
        <w:t>the three countries will be planned from Q2/year 1 to year 5. In addition, it is considered a total budget of 621,000 USD for the Gender Action Plan. More detail in TA can be found in section 2.1.</w:t>
      </w:r>
    </w:p>
    <w:p w14:paraId="3A6E0575" w14:textId="77777777" w:rsidR="008B415A" w:rsidRDefault="008B415A" w:rsidP="008B415A">
      <w:pPr>
        <w:spacing w:after="0" w:line="240" w:lineRule="auto"/>
      </w:pPr>
    </w:p>
    <w:p w14:paraId="1D75BE97" w14:textId="77777777" w:rsidR="00AB7AF8" w:rsidRDefault="00AB7AF8" w:rsidP="008B415A">
      <w:pPr>
        <w:keepNext/>
        <w:spacing w:after="0" w:line="240" w:lineRule="auto"/>
      </w:pPr>
      <w:bookmarkStart w:id="201" w:name="_Ref69840428"/>
      <w:r>
        <w:t xml:space="preserve">Figure </w:t>
      </w:r>
      <w:r w:rsidR="00203008">
        <w:fldChar w:fldCharType="begin"/>
      </w:r>
      <w:r w:rsidR="00203008">
        <w:instrText xml:space="preserve"> SEQ Figure \* ARABIC </w:instrText>
      </w:r>
      <w:r w:rsidR="00203008">
        <w:fldChar w:fldCharType="separate"/>
      </w:r>
      <w:r>
        <w:rPr>
          <w:noProof/>
        </w:rPr>
        <w:t>6</w:t>
      </w:r>
      <w:r w:rsidR="00203008">
        <w:rPr>
          <w:noProof/>
        </w:rPr>
        <w:fldChar w:fldCharType="end"/>
      </w:r>
      <w:bookmarkEnd w:id="201"/>
      <w:r>
        <w:t xml:space="preserve">: </w:t>
      </w:r>
      <w:r w:rsidRPr="00CA3677">
        <w:t>E-motion implementing period and budget for TA packages, sub-program 2 countries. Source: own elaboration</w:t>
      </w:r>
    </w:p>
    <w:p w14:paraId="0DB1465C" w14:textId="77777777" w:rsidR="00BF4B44" w:rsidRDefault="00BF4B44" w:rsidP="008B415A">
      <w:pPr>
        <w:keepNext/>
        <w:spacing w:after="0" w:line="240" w:lineRule="auto"/>
      </w:pPr>
    </w:p>
    <w:p w14:paraId="491D6472" w14:textId="452D130C" w:rsidR="00AB7AF8" w:rsidRPr="00CA3677" w:rsidRDefault="00AB7AF8" w:rsidP="008B415A">
      <w:pPr>
        <w:keepNext/>
        <w:spacing w:after="0" w:line="240" w:lineRule="auto"/>
        <w:jc w:val="center"/>
      </w:pPr>
      <w:r w:rsidRPr="00F35A75">
        <w:rPr>
          <w:noProof/>
        </w:rPr>
        <w:drawing>
          <wp:inline distT="0" distB="0" distL="0" distR="0" wp14:anchorId="254FDAD1" wp14:editId="501C4FCA">
            <wp:extent cx="5998283" cy="254441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017097" cy="2552398"/>
                    </a:xfrm>
                    <a:prstGeom prst="rect">
                      <a:avLst/>
                    </a:prstGeom>
                  </pic:spPr>
                </pic:pic>
              </a:graphicData>
            </a:graphic>
          </wp:inline>
        </w:drawing>
      </w:r>
    </w:p>
    <w:p w14:paraId="07A34F18" w14:textId="77777777" w:rsidR="00AB7AF8" w:rsidRDefault="00AB7AF8" w:rsidP="008B415A">
      <w:pPr>
        <w:spacing w:after="0" w:line="240" w:lineRule="auto"/>
      </w:pPr>
    </w:p>
    <w:p w14:paraId="58FE63C4" w14:textId="77777777" w:rsidR="0049423E" w:rsidRDefault="0049423E" w:rsidP="008B415A">
      <w:pPr>
        <w:spacing w:after="0" w:line="240" w:lineRule="auto"/>
      </w:pPr>
    </w:p>
    <w:p w14:paraId="49BC4705" w14:textId="77777777" w:rsidR="0049423E" w:rsidRDefault="0049423E" w:rsidP="008B415A">
      <w:pPr>
        <w:spacing w:after="0" w:line="240" w:lineRule="auto"/>
      </w:pPr>
    </w:p>
    <w:p w14:paraId="5CD3CAFD" w14:textId="77777777" w:rsidR="00FD3726" w:rsidRDefault="00FD3726" w:rsidP="008B415A">
      <w:pPr>
        <w:spacing w:after="0" w:line="240" w:lineRule="auto"/>
      </w:pPr>
    </w:p>
    <w:p w14:paraId="54A354D4" w14:textId="77777777" w:rsidR="0049423E" w:rsidRDefault="0049423E" w:rsidP="008B415A">
      <w:pPr>
        <w:spacing w:after="0" w:line="240" w:lineRule="auto"/>
      </w:pPr>
    </w:p>
    <w:p w14:paraId="0C94D3E9" w14:textId="77777777" w:rsidR="00AB7AF8" w:rsidRDefault="00AB7AF8" w:rsidP="008B415A">
      <w:pPr>
        <w:spacing w:after="0" w:line="240" w:lineRule="auto"/>
        <w:rPr>
          <w:szCs w:val="20"/>
        </w:rPr>
      </w:pPr>
      <w:r w:rsidRPr="00CA3677">
        <w:t xml:space="preserve">Based on the strategy of intervention elaborated by each country and presented in </w:t>
      </w:r>
      <w:r>
        <w:t>Annex 3</w:t>
      </w:r>
      <w:r w:rsidRPr="00CA3677">
        <w:t xml:space="preserve">, </w:t>
      </w:r>
      <w:r w:rsidRPr="00187A10">
        <w:rPr>
          <w:b/>
          <w:bCs/>
        </w:rPr>
        <w:t>key criteria are recommended</w:t>
      </w:r>
      <w:r w:rsidRPr="00CA3677">
        <w:t xml:space="preserve"> to set the most </w:t>
      </w:r>
      <w:proofErr w:type="spellStart"/>
      <w:r w:rsidRPr="00CA3677">
        <w:t>favorable</w:t>
      </w:r>
      <w:proofErr w:type="spellEnd"/>
      <w:r w:rsidRPr="00CA3677">
        <w:t xml:space="preserve"> conditions in the E-motion implementation phase</w:t>
      </w:r>
      <w:r>
        <w:t>. Those are organized in nine dimensions</w:t>
      </w:r>
      <w:r w:rsidRPr="00CA3677">
        <w:t xml:space="preserve"> (see </w:t>
      </w:r>
      <w:r w:rsidRPr="00CA3677">
        <w:fldChar w:fldCharType="begin"/>
      </w:r>
      <w:r w:rsidRPr="00CA3677">
        <w:instrText xml:space="preserve"> REF _Ref68449975 \h </w:instrText>
      </w:r>
      <w:r w:rsidRPr="00CA3677">
        <w:fldChar w:fldCharType="separate"/>
      </w:r>
      <w:r>
        <w:rPr>
          <w:b/>
          <w:bCs/>
          <w:lang w:val="en-US"/>
        </w:rPr>
        <w:t>Error! Reference source not found.</w:t>
      </w:r>
      <w:r w:rsidRPr="00CA3677">
        <w:fldChar w:fldCharType="end"/>
      </w:r>
      <w:r w:rsidRPr="00CA3677">
        <w:t>)</w:t>
      </w:r>
      <w:r>
        <w:t xml:space="preserve">: </w:t>
      </w:r>
      <w:proofErr w:type="spellStart"/>
      <w:r>
        <w:t>i</w:t>
      </w:r>
      <w:proofErr w:type="spellEnd"/>
      <w:r>
        <w:t xml:space="preserve">) </w:t>
      </w:r>
      <w:r w:rsidRPr="00CA3677">
        <w:rPr>
          <w:szCs w:val="20"/>
        </w:rPr>
        <w:t>Vehicle standard</w:t>
      </w:r>
      <w:r>
        <w:rPr>
          <w:szCs w:val="20"/>
        </w:rPr>
        <w:t xml:space="preserve">, ii) Operational, iii) Maintenance, iv) Monitoring, v) </w:t>
      </w:r>
      <w:r w:rsidRPr="00CA3677">
        <w:rPr>
          <w:szCs w:val="20"/>
        </w:rPr>
        <w:t>New markets and electromobility value chain</w:t>
      </w:r>
      <w:r>
        <w:rPr>
          <w:szCs w:val="20"/>
        </w:rPr>
        <w:t>, vi) Charging infrastructure, vii) Social outreach, viii) Gender, and ix) Country Specific criteria. More detail can be found in section 2.3.</w:t>
      </w:r>
    </w:p>
    <w:p w14:paraId="3C4D7C4C" w14:textId="77777777" w:rsidR="008B415A" w:rsidRDefault="008B415A" w:rsidP="008B415A">
      <w:pPr>
        <w:spacing w:after="0" w:line="240" w:lineRule="auto"/>
        <w:rPr>
          <w:szCs w:val="20"/>
        </w:rPr>
      </w:pPr>
    </w:p>
    <w:p w14:paraId="44924A11" w14:textId="1C637C75" w:rsidR="00AB7AF8" w:rsidRDefault="00AB7AF8" w:rsidP="008B415A">
      <w:pPr>
        <w:spacing w:after="0" w:line="240" w:lineRule="auto"/>
      </w:pPr>
      <w:r w:rsidRPr="00CF56DB">
        <w:t xml:space="preserve">The total projected </w:t>
      </w:r>
      <w:r w:rsidRPr="006A6EAA">
        <w:rPr>
          <w:b/>
          <w:bCs/>
        </w:rPr>
        <w:t xml:space="preserve">GHG direct impact </w:t>
      </w:r>
      <w:r w:rsidRPr="003C21D8">
        <w:t xml:space="preserve">of the </w:t>
      </w:r>
      <w:r>
        <w:t>Sub-P</w:t>
      </w:r>
      <w:r w:rsidRPr="00CF56DB">
        <w:t xml:space="preserve">rogram 2 in </w:t>
      </w:r>
      <w:r w:rsidRPr="00BA2AE0">
        <w:t xml:space="preserve">Uruguay, Paraguay and Panama </w:t>
      </w:r>
      <w:r w:rsidRPr="00CF56DB">
        <w:t xml:space="preserve">is estimated to </w:t>
      </w:r>
      <w:r>
        <w:t>3.3</w:t>
      </w:r>
      <w:r w:rsidRPr="00CF56DB">
        <w:t> </w:t>
      </w:r>
      <w:r w:rsidRPr="5C7A07C0">
        <w:t>MtCO</w:t>
      </w:r>
      <w:r w:rsidRPr="5C7A07C0">
        <w:rPr>
          <w:vertAlign w:val="subscript"/>
        </w:rPr>
        <w:t>2</w:t>
      </w:r>
      <w:r w:rsidRPr="00891FE7">
        <w:t>e</w:t>
      </w:r>
      <w:r w:rsidRPr="003C21D8">
        <w:t xml:space="preserve"> over the lifetime of the </w:t>
      </w:r>
      <w:r w:rsidR="00143368">
        <w:t>EVs</w:t>
      </w:r>
      <w:r w:rsidRPr="00CF56DB">
        <w:t xml:space="preserve"> </w:t>
      </w:r>
      <w:r>
        <w:t xml:space="preserve">and the charging infrastructure </w:t>
      </w:r>
      <w:r w:rsidRPr="00CF56DB">
        <w:t>financed by the program</w:t>
      </w:r>
      <w:r w:rsidRPr="003C21D8">
        <w:t xml:space="preserve"> based on the initial pipeline of projects. Actual emission reductions will depend on which projects are </w:t>
      </w:r>
      <w:proofErr w:type="gramStart"/>
      <w:r w:rsidRPr="003C21D8">
        <w:t>actually implemented</w:t>
      </w:r>
      <w:proofErr w:type="gramEnd"/>
      <w:r w:rsidRPr="003C21D8">
        <w:t xml:space="preserve"> and will be monitored by the </w:t>
      </w:r>
      <w:r>
        <w:t>Sub-</w:t>
      </w:r>
      <w:r w:rsidRPr="003C21D8">
        <w:t>Program</w:t>
      </w:r>
      <w:r>
        <w:t xml:space="preserve"> 2</w:t>
      </w:r>
      <w:r w:rsidRPr="003C21D8">
        <w:t>.</w:t>
      </w:r>
      <w:r>
        <w:t xml:space="preserve"> Direct and indirect impacts, environmental co-benefits and economic co-benefits can be found in section 2.4</w:t>
      </w:r>
    </w:p>
    <w:p w14:paraId="7AAFFF83" w14:textId="77777777" w:rsidR="008B415A" w:rsidRDefault="008B415A" w:rsidP="008B415A">
      <w:pPr>
        <w:spacing w:after="0" w:line="240" w:lineRule="auto"/>
      </w:pPr>
    </w:p>
    <w:p w14:paraId="74EB7C07" w14:textId="77777777" w:rsidR="008B415A" w:rsidRDefault="008B415A" w:rsidP="008B415A">
      <w:pPr>
        <w:spacing w:after="0" w:line="240" w:lineRule="auto"/>
      </w:pPr>
    </w:p>
    <w:p w14:paraId="44FD01FF" w14:textId="282F6AF0" w:rsidR="00AB7AF8" w:rsidRPr="008B415A" w:rsidRDefault="00AB7AF8" w:rsidP="008B415A">
      <w:pPr>
        <w:pStyle w:val="Ttulo2"/>
        <w:numPr>
          <w:ilvl w:val="0"/>
          <w:numId w:val="0"/>
        </w:numPr>
        <w:spacing w:before="0" w:after="0" w:line="240" w:lineRule="auto"/>
        <w:rPr>
          <w:b/>
          <w:bCs/>
        </w:rPr>
      </w:pPr>
      <w:bookmarkStart w:id="202" w:name="_Toc114079900"/>
      <w:bookmarkStart w:id="203" w:name="_Toc114152251"/>
      <w:r w:rsidRPr="008B415A">
        <w:rPr>
          <w:b/>
          <w:bCs/>
        </w:rPr>
        <w:t>FUNDING PROPOSAL STRUCTURATION</w:t>
      </w:r>
      <w:bookmarkEnd w:id="202"/>
      <w:bookmarkEnd w:id="203"/>
    </w:p>
    <w:p w14:paraId="63C32100" w14:textId="77777777" w:rsidR="008B415A" w:rsidRDefault="008B415A" w:rsidP="008B415A">
      <w:pPr>
        <w:spacing w:after="0" w:line="240" w:lineRule="auto"/>
      </w:pPr>
    </w:p>
    <w:p w14:paraId="39427A97" w14:textId="0AFB3F96" w:rsidR="00AB7AF8" w:rsidRDefault="00AB7AF8" w:rsidP="008B415A">
      <w:pPr>
        <w:spacing w:after="0" w:line="240" w:lineRule="auto"/>
      </w:pPr>
      <w:r w:rsidRPr="00D10ECC">
        <w:t xml:space="preserve">In consideration of all the results obtained during the development of the feasibility studies in PA, PY and UY, it is suggested to structure the E-motion interventions planned for Sub-Program 2 into </w:t>
      </w:r>
      <w:r>
        <w:t>4</w:t>
      </w:r>
      <w:r w:rsidRPr="00D10ECC">
        <w:t xml:space="preserve"> components:</w:t>
      </w:r>
    </w:p>
    <w:p w14:paraId="2A3E7602" w14:textId="77777777" w:rsidR="008B415A" w:rsidRPr="00D10ECC" w:rsidRDefault="008B415A" w:rsidP="008B415A">
      <w:pPr>
        <w:spacing w:after="0" w:line="240" w:lineRule="auto"/>
      </w:pPr>
    </w:p>
    <w:p w14:paraId="4665BC5C" w14:textId="61119138" w:rsidR="00AB7AF8" w:rsidRPr="00A20B5E" w:rsidRDefault="00AB7AF8" w:rsidP="008B415A">
      <w:pPr>
        <w:pStyle w:val="Prrafodelista"/>
        <w:numPr>
          <w:ilvl w:val="0"/>
          <w:numId w:val="61"/>
        </w:numPr>
        <w:spacing w:after="0" w:line="240" w:lineRule="auto"/>
        <w:ind w:left="426" w:hanging="426"/>
        <w:rPr>
          <w:lang w:eastAsia="ja-JP"/>
        </w:rPr>
      </w:pPr>
      <w:r w:rsidRPr="00A20B5E">
        <w:rPr>
          <w:b/>
          <w:bCs/>
          <w:lang w:eastAsia="ja-JP"/>
        </w:rPr>
        <w:t>Component 1</w:t>
      </w:r>
      <w:r w:rsidRPr="00A20B5E">
        <w:rPr>
          <w:lang w:eastAsia="ja-JP"/>
        </w:rPr>
        <w:t xml:space="preserve">: Establishment of an e-mobility conducive ecosystem by providing Technical Assistance to create a policy and business framework conducive for massive deployment of </w:t>
      </w:r>
      <w:r w:rsidR="00143368">
        <w:rPr>
          <w:lang w:eastAsia="ja-JP"/>
        </w:rPr>
        <w:t>EVs</w:t>
      </w:r>
      <w:r w:rsidRPr="00A20B5E">
        <w:rPr>
          <w:lang w:eastAsia="ja-JP"/>
        </w:rPr>
        <w:t xml:space="preserve"> on a local (project design, business model design and development, city EV policies, training etc.), national (sectoral electrification roadmaps, stakeholder coordination, support of national enabling policies for EV deployment, advice on battery re-usage, recycling and disposal) and a regional level (capacity building, knowledge materials, outreach and dissemination, program monitoring).</w:t>
      </w:r>
    </w:p>
    <w:p w14:paraId="47F7F687" w14:textId="77777777" w:rsidR="00AB7AF8" w:rsidRPr="00A20B5E" w:rsidRDefault="00AB7AF8" w:rsidP="008B415A">
      <w:pPr>
        <w:pStyle w:val="Prrafodelista"/>
        <w:numPr>
          <w:ilvl w:val="0"/>
          <w:numId w:val="61"/>
        </w:numPr>
        <w:spacing w:after="0" w:line="240" w:lineRule="auto"/>
        <w:ind w:left="426" w:hanging="426"/>
        <w:rPr>
          <w:lang w:eastAsia="ja-JP"/>
        </w:rPr>
      </w:pPr>
      <w:r w:rsidRPr="00A20B5E">
        <w:rPr>
          <w:b/>
          <w:bCs/>
          <w:lang w:eastAsia="ja-JP"/>
        </w:rPr>
        <w:t>Component 2</w:t>
      </w:r>
      <w:r w:rsidRPr="00A20B5E">
        <w:rPr>
          <w:lang w:eastAsia="ja-JP"/>
        </w:rPr>
        <w:t xml:space="preserve">: Deployment of large-scale e-bus fleets (major investment component) coupled, when possible, with innovative models based on a separation of asset ownership and operations modernizing and increasing the attractiveness of the public transport sector whilst also making it financially more efficient and sustainable. </w:t>
      </w:r>
    </w:p>
    <w:p w14:paraId="0EB98278" w14:textId="77777777" w:rsidR="00AB7AF8" w:rsidRPr="0056221C" w:rsidRDefault="00AB7AF8" w:rsidP="008B415A">
      <w:pPr>
        <w:pStyle w:val="Prrafodelista"/>
        <w:numPr>
          <w:ilvl w:val="0"/>
          <w:numId w:val="61"/>
        </w:numPr>
        <w:spacing w:after="0" w:line="240" w:lineRule="auto"/>
        <w:ind w:left="426" w:hanging="426"/>
        <w:rPr>
          <w:szCs w:val="20"/>
          <w:lang w:eastAsia="ja-JP"/>
        </w:rPr>
      </w:pPr>
      <w:r w:rsidRPr="00A20B5E">
        <w:rPr>
          <w:b/>
          <w:bCs/>
          <w:lang w:eastAsia="ja-JP"/>
        </w:rPr>
        <w:t>Component 3</w:t>
      </w:r>
      <w:r w:rsidRPr="00A20B5E">
        <w:rPr>
          <w:lang w:eastAsia="ja-JP"/>
        </w:rPr>
        <w:t xml:space="preserve">: Deployment of e-light commercial </w:t>
      </w:r>
      <w:r w:rsidRPr="0056221C">
        <w:rPr>
          <w:szCs w:val="20"/>
          <w:lang w:eastAsia="ja-JP"/>
        </w:rPr>
        <w:t>vehicles</w:t>
      </w:r>
      <w:r w:rsidRPr="0056221C">
        <w:rPr>
          <w:rStyle w:val="Refdenotaalpie"/>
          <w:rFonts w:ascii="Century Gothic" w:hAnsi="Century Gothic"/>
          <w:sz w:val="20"/>
          <w:szCs w:val="20"/>
          <w:lang w:eastAsia="ja-JP"/>
        </w:rPr>
        <w:footnoteReference w:id="40"/>
      </w:r>
      <w:r w:rsidRPr="0056221C">
        <w:rPr>
          <w:szCs w:val="20"/>
          <w:lang w:eastAsia="ja-JP"/>
        </w:rPr>
        <w:t>.</w:t>
      </w:r>
    </w:p>
    <w:p w14:paraId="7DCEFEDF" w14:textId="77777777" w:rsidR="00AB7AF8" w:rsidRPr="00A00757" w:rsidRDefault="00AB7AF8" w:rsidP="008B415A">
      <w:pPr>
        <w:pStyle w:val="Prrafodelista"/>
        <w:numPr>
          <w:ilvl w:val="0"/>
          <w:numId w:val="61"/>
        </w:numPr>
        <w:spacing w:after="0" w:line="240" w:lineRule="auto"/>
        <w:ind w:left="426" w:hanging="426"/>
      </w:pPr>
      <w:r w:rsidRPr="00A20B5E">
        <w:rPr>
          <w:b/>
          <w:bCs/>
          <w:lang w:eastAsia="ja-JP"/>
        </w:rPr>
        <w:t>Component 4</w:t>
      </w:r>
      <w:r w:rsidRPr="00A20B5E">
        <w:rPr>
          <w:lang w:eastAsia="ja-JP"/>
        </w:rPr>
        <w:t xml:space="preserve">: Deployment of large-scale fast-charging and gender aware infrastructure for the countries. </w:t>
      </w:r>
    </w:p>
    <w:p w14:paraId="0914A395" w14:textId="77777777" w:rsidR="00AB7AF8" w:rsidRPr="00A20B5E" w:rsidRDefault="00AB7AF8" w:rsidP="008B415A">
      <w:pPr>
        <w:pStyle w:val="Prrafodelista"/>
        <w:numPr>
          <w:ilvl w:val="0"/>
          <w:numId w:val="61"/>
        </w:numPr>
        <w:spacing w:after="0" w:line="240" w:lineRule="auto"/>
        <w:ind w:left="426" w:hanging="426"/>
        <w:rPr>
          <w:lang w:eastAsia="ja-JP"/>
        </w:rPr>
      </w:pPr>
      <w:r>
        <w:rPr>
          <w:b/>
          <w:bCs/>
          <w:lang w:eastAsia="ja-JP"/>
        </w:rPr>
        <w:t>PMU</w:t>
      </w:r>
      <w:r w:rsidRPr="00A20B5E">
        <w:rPr>
          <w:lang w:eastAsia="ja-JP"/>
        </w:rPr>
        <w:t>: Establishing a Program Management Unit (PMU) for project implementation and impact monitoring.</w:t>
      </w:r>
    </w:p>
    <w:p w14:paraId="5D687C31" w14:textId="77777777" w:rsidR="008B415A" w:rsidRDefault="008B415A" w:rsidP="008B415A">
      <w:pPr>
        <w:pStyle w:val="Ttulo2"/>
        <w:numPr>
          <w:ilvl w:val="0"/>
          <w:numId w:val="0"/>
        </w:numPr>
        <w:spacing w:before="0" w:after="0" w:line="240" w:lineRule="auto"/>
      </w:pPr>
    </w:p>
    <w:p w14:paraId="22E5E3D4" w14:textId="4FD5F017" w:rsidR="00AB7AF8" w:rsidRPr="008B415A" w:rsidRDefault="00AB7AF8" w:rsidP="008B415A">
      <w:pPr>
        <w:pStyle w:val="Ttulo2"/>
        <w:numPr>
          <w:ilvl w:val="0"/>
          <w:numId w:val="0"/>
        </w:numPr>
        <w:spacing w:before="0" w:after="0" w:line="240" w:lineRule="auto"/>
        <w:rPr>
          <w:b/>
          <w:bCs/>
        </w:rPr>
      </w:pPr>
      <w:bookmarkStart w:id="204" w:name="_Toc114079901"/>
      <w:bookmarkStart w:id="205" w:name="_Toc114152252"/>
      <w:r w:rsidRPr="008B415A">
        <w:rPr>
          <w:b/>
          <w:bCs/>
        </w:rPr>
        <w:t>FINANCIAL STRUCTURATION</w:t>
      </w:r>
      <w:bookmarkEnd w:id="204"/>
      <w:bookmarkEnd w:id="205"/>
    </w:p>
    <w:p w14:paraId="0DECA901" w14:textId="77777777" w:rsidR="008B415A" w:rsidRDefault="008B415A" w:rsidP="008B415A">
      <w:pPr>
        <w:spacing w:after="0" w:line="240" w:lineRule="auto"/>
      </w:pPr>
    </w:p>
    <w:p w14:paraId="68620EA9" w14:textId="2E47A75F" w:rsidR="00AB7AF8" w:rsidRDefault="00AB7AF8" w:rsidP="008B415A">
      <w:pPr>
        <w:spacing w:after="0" w:line="240" w:lineRule="auto"/>
      </w:pPr>
      <w:r w:rsidRPr="000A6019">
        <w:t xml:space="preserve">The total capital investment is </w:t>
      </w:r>
      <w:r>
        <w:t>USD 229.12</w:t>
      </w:r>
      <w:r w:rsidRPr="006D6271">
        <w:t xml:space="preserve"> MM with a request</w:t>
      </w:r>
      <w:r>
        <w:t xml:space="preserve"> to </w:t>
      </w:r>
      <w:r w:rsidRPr="006D6271">
        <w:t xml:space="preserve">GCF finance of USD </w:t>
      </w:r>
      <w:r>
        <w:t>74.4</w:t>
      </w:r>
      <w:r w:rsidRPr="006D6271">
        <w:t xml:space="preserve"> </w:t>
      </w:r>
      <w:r>
        <w:t xml:space="preserve">MM. </w:t>
      </w:r>
      <w:r>
        <w:fldChar w:fldCharType="begin"/>
      </w:r>
      <w:r>
        <w:instrText xml:space="preserve"> REF _Ref69842962 \h </w:instrText>
      </w:r>
      <w:r>
        <w:fldChar w:fldCharType="separate"/>
      </w:r>
      <w:r>
        <w:t xml:space="preserve">Figure </w:t>
      </w:r>
      <w:r>
        <w:rPr>
          <w:noProof/>
        </w:rPr>
        <w:t>7</w:t>
      </w:r>
      <w:r>
        <w:fldChar w:fldCharType="end"/>
      </w:r>
      <w:r>
        <w:t xml:space="preserve"> shows the financial split of the program by PA, PY and UY, and detailed financial package by country and by vehicle segment has been presented in Reports T4 (see Annex 3). Business models alternatives (diagrams) by component 2, 3 and 4 can be found in section 2.5.</w:t>
      </w:r>
    </w:p>
    <w:p w14:paraId="7E227870" w14:textId="77777777" w:rsidR="00FD3726" w:rsidRDefault="00FD3726" w:rsidP="008B415A">
      <w:pPr>
        <w:spacing w:after="0" w:line="240" w:lineRule="auto"/>
      </w:pPr>
    </w:p>
    <w:p w14:paraId="14D950A6" w14:textId="77777777" w:rsidR="00AB7AF8" w:rsidRDefault="00AB7AF8" w:rsidP="008B415A">
      <w:pPr>
        <w:spacing w:after="0" w:line="240" w:lineRule="auto"/>
      </w:pPr>
      <w:r>
        <w:t>As it was mentioned in section 2.4, d</w:t>
      </w:r>
      <w:r w:rsidRPr="000A6019">
        <w:t xml:space="preserve">irect GHG reduction of </w:t>
      </w:r>
      <w:r>
        <w:t>3.3 M</w:t>
      </w:r>
      <w:r w:rsidRPr="000A6019">
        <w:t>tCO</w:t>
      </w:r>
      <w:r w:rsidRPr="000A6019">
        <w:rPr>
          <w:vertAlign w:val="subscript"/>
        </w:rPr>
        <w:t>2</w:t>
      </w:r>
      <w:r w:rsidRPr="002B488D">
        <w:t>e</w:t>
      </w:r>
      <w:r w:rsidRPr="000A6019">
        <w:t xml:space="preserve"> resulting in an effectiveness of the GCF investment in direct terms of </w:t>
      </w:r>
      <w:r>
        <w:t>23</w:t>
      </w:r>
      <w:r w:rsidRPr="000A6019">
        <w:t xml:space="preserve"> USD/tCO</w:t>
      </w:r>
      <w:r w:rsidRPr="000A6019">
        <w:rPr>
          <w:vertAlign w:val="subscript"/>
        </w:rPr>
        <w:t>2</w:t>
      </w:r>
      <w:r w:rsidRPr="002B488D">
        <w:t>e</w:t>
      </w:r>
      <w:r>
        <w:t>,</w:t>
      </w:r>
      <w:r w:rsidRPr="000A6019">
        <w:t xml:space="preserve"> </w:t>
      </w:r>
      <w:r>
        <w:rPr>
          <w:szCs w:val="20"/>
        </w:rPr>
        <w:t>68</w:t>
      </w:r>
      <w:r w:rsidRPr="000E04E9">
        <w:t xml:space="preserve"> </w:t>
      </w:r>
      <w:r w:rsidRPr="000A6019">
        <w:t>% of the total investment is co-financed.</w:t>
      </w:r>
    </w:p>
    <w:p w14:paraId="7F3ECC3D" w14:textId="16CEBCCC" w:rsidR="008B415A" w:rsidRDefault="00AB7AF8" w:rsidP="008B415A">
      <w:pPr>
        <w:spacing w:after="0" w:line="240" w:lineRule="auto"/>
      </w:pPr>
      <w:r>
        <w:t xml:space="preserve">More detail in the financial structuration regarding to main types of financing structures, </w:t>
      </w:r>
      <w:proofErr w:type="gramStart"/>
      <w:r>
        <w:t>rationale</w:t>
      </w:r>
      <w:proofErr w:type="gramEnd"/>
      <w:r>
        <w:t xml:space="preserve"> and additionality of E-motion, as well as the risk assessment can be found in chapter 3. In addition, it is considered a total budget of 621,000 USD for the Gender Action Plan.</w:t>
      </w:r>
      <w:bookmarkStart w:id="206" w:name="_Ref69842962"/>
    </w:p>
    <w:p w14:paraId="2EC68A14" w14:textId="77777777" w:rsidR="008B415A" w:rsidRDefault="008B415A" w:rsidP="008B415A">
      <w:pPr>
        <w:spacing w:after="0" w:line="240" w:lineRule="auto"/>
      </w:pPr>
    </w:p>
    <w:p w14:paraId="0C0DAD6A" w14:textId="6DFC3309" w:rsidR="00AB7AF8" w:rsidRDefault="00AB7AF8" w:rsidP="008B415A">
      <w:pPr>
        <w:spacing w:after="0" w:line="240" w:lineRule="auto"/>
      </w:pPr>
      <w:r>
        <w:t xml:space="preserve">Figure </w:t>
      </w:r>
      <w:r w:rsidR="00203008">
        <w:fldChar w:fldCharType="begin"/>
      </w:r>
      <w:r w:rsidR="00203008">
        <w:instrText xml:space="preserve"> SEQ Figure \* ARABIC </w:instrText>
      </w:r>
      <w:r w:rsidR="00203008">
        <w:fldChar w:fldCharType="separate"/>
      </w:r>
      <w:r>
        <w:rPr>
          <w:noProof/>
        </w:rPr>
        <w:t>7</w:t>
      </w:r>
      <w:r w:rsidR="00203008">
        <w:rPr>
          <w:noProof/>
        </w:rPr>
        <w:fldChar w:fldCharType="end"/>
      </w:r>
      <w:bookmarkEnd w:id="206"/>
      <w:r>
        <w:t>:</w:t>
      </w:r>
      <w:r w:rsidRPr="00B72584">
        <w:t xml:space="preserve"> </w:t>
      </w:r>
      <w:r>
        <w:t xml:space="preserve">E-motion sub-program 2 financial split by </w:t>
      </w:r>
      <w:r w:rsidRPr="00FF5E9B">
        <w:rPr>
          <w:szCs w:val="20"/>
        </w:rPr>
        <w:t>country</w:t>
      </w:r>
      <w:r w:rsidRPr="00FF5E9B">
        <w:rPr>
          <w:rStyle w:val="Refdenotaalpie"/>
          <w:rFonts w:ascii="Century Gothic" w:hAnsi="Century Gothic"/>
          <w:sz w:val="20"/>
          <w:szCs w:val="20"/>
        </w:rPr>
        <w:footnoteReference w:id="41"/>
      </w:r>
      <w:r w:rsidRPr="00FF5E9B">
        <w:rPr>
          <w:szCs w:val="20"/>
        </w:rPr>
        <w:t>. Source</w:t>
      </w:r>
      <w:r>
        <w:t>: own elaboration</w:t>
      </w:r>
    </w:p>
    <w:p w14:paraId="25748595" w14:textId="77777777" w:rsidR="008B415A" w:rsidRDefault="008B415A" w:rsidP="008B415A">
      <w:pPr>
        <w:spacing w:after="0" w:line="240" w:lineRule="auto"/>
      </w:pPr>
    </w:p>
    <w:p w14:paraId="03C28012" w14:textId="24BB95F3" w:rsidR="00AB7AF8" w:rsidRDefault="00AB7AF8" w:rsidP="00AB7AF8">
      <w:pPr>
        <w:jc w:val="center"/>
      </w:pPr>
      <w:r>
        <w:rPr>
          <w:noProof/>
        </w:rPr>
        <w:drawing>
          <wp:inline distT="0" distB="0" distL="0" distR="0" wp14:anchorId="6A174998" wp14:editId="52931866">
            <wp:extent cx="4252293" cy="3352800"/>
            <wp:effectExtent l="0" t="0" r="0" b="0"/>
            <wp:docPr id="25" name="Imagen 25"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hart, bar chart, box and whisker chart&#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65715" cy="3363383"/>
                    </a:xfrm>
                    <a:prstGeom prst="rect">
                      <a:avLst/>
                    </a:prstGeom>
                    <a:noFill/>
                  </pic:spPr>
                </pic:pic>
              </a:graphicData>
            </a:graphic>
          </wp:inline>
        </w:drawing>
      </w:r>
    </w:p>
    <w:p w14:paraId="2719BFD9" w14:textId="29C75BF6" w:rsidR="00B53DEB" w:rsidRDefault="00B53DEB">
      <w:pPr>
        <w:jc w:val="left"/>
        <w:rPr>
          <w:rFonts w:eastAsiaTheme="majorEastAsia" w:cstheme="majorBidi"/>
          <w:b/>
          <w:sz w:val="24"/>
          <w:szCs w:val="32"/>
        </w:rPr>
      </w:pPr>
      <w:r>
        <w:br w:type="page"/>
      </w:r>
    </w:p>
    <w:p w14:paraId="601FA550" w14:textId="1DF48DC0" w:rsidR="00BE5053" w:rsidRDefault="00B53DEB" w:rsidP="00B53DEB">
      <w:pPr>
        <w:pStyle w:val="Ttulo1"/>
      </w:pPr>
      <w:bookmarkStart w:id="207" w:name="_Toc114152253"/>
      <w:r w:rsidRPr="00B53DEB">
        <w:t>Annex 8</w:t>
      </w:r>
      <w:r>
        <w:t xml:space="preserve">: </w:t>
      </w:r>
      <w:r w:rsidR="008A1AA2">
        <w:t>Gender Assessment</w:t>
      </w:r>
      <w:r w:rsidR="00DF5207">
        <w:t>: Key Areas of Intervention</w:t>
      </w:r>
      <w:bookmarkEnd w:id="207"/>
    </w:p>
    <w:p w14:paraId="2D8B9B7B" w14:textId="0EB39787" w:rsidR="004B75E3" w:rsidRDefault="00072B3C" w:rsidP="00AB0571">
      <w:pPr>
        <w:pStyle w:val="Prrafodelista"/>
      </w:pPr>
      <w:r>
        <w:t xml:space="preserve">Table </w:t>
      </w:r>
      <w:r w:rsidR="00203008">
        <w:fldChar w:fldCharType="begin"/>
      </w:r>
      <w:r w:rsidR="00203008">
        <w:instrText xml:space="preserve"> SEQ Table \* ARABIC </w:instrText>
      </w:r>
      <w:r w:rsidR="00203008">
        <w:fldChar w:fldCharType="separate"/>
      </w:r>
      <w:r>
        <w:rPr>
          <w:noProof/>
        </w:rPr>
        <w:t>13</w:t>
      </w:r>
      <w:r w:rsidR="00203008">
        <w:rPr>
          <w:noProof/>
        </w:rPr>
        <w:fldChar w:fldCharType="end"/>
      </w:r>
      <w:r>
        <w:t xml:space="preserve">: </w:t>
      </w:r>
      <w:r w:rsidR="00E30598">
        <w:t xml:space="preserve">Key </w:t>
      </w:r>
      <w:r w:rsidR="00F71686">
        <w:t>areas of intervention</w:t>
      </w:r>
    </w:p>
    <w:tbl>
      <w:tblPr>
        <w:tblStyle w:val="Tablaconcuadrcula"/>
        <w:tblW w:w="0" w:type="auto"/>
        <w:jc w:val="center"/>
        <w:tblLook w:val="04A0" w:firstRow="1" w:lastRow="0" w:firstColumn="1" w:lastColumn="0" w:noHBand="0" w:noVBand="1"/>
      </w:tblPr>
      <w:tblGrid>
        <w:gridCol w:w="2263"/>
        <w:gridCol w:w="3261"/>
        <w:gridCol w:w="3538"/>
      </w:tblGrid>
      <w:tr w:rsidR="00F821FB" w14:paraId="47C2F668" w14:textId="77777777" w:rsidTr="00CF0B4F">
        <w:trPr>
          <w:jc w:val="center"/>
        </w:trPr>
        <w:tc>
          <w:tcPr>
            <w:tcW w:w="2263" w:type="dxa"/>
            <w:vMerge w:val="restart"/>
          </w:tcPr>
          <w:p w14:paraId="531762C2" w14:textId="77777777" w:rsidR="004B75E3" w:rsidRPr="00AB0571" w:rsidRDefault="004B75E3" w:rsidP="00072B3C">
            <w:pPr>
              <w:jc w:val="left"/>
              <w:rPr>
                <w:sz w:val="20"/>
                <w:szCs w:val="20"/>
              </w:rPr>
            </w:pPr>
            <w:r w:rsidRPr="00AB0571">
              <w:rPr>
                <w:sz w:val="20"/>
                <w:szCs w:val="20"/>
                <w:u w:val="single"/>
              </w:rPr>
              <w:t>Mobility</w:t>
            </w:r>
            <w:r w:rsidRPr="00AB0571">
              <w:rPr>
                <w:sz w:val="20"/>
                <w:szCs w:val="20"/>
              </w:rPr>
              <w:t>: Inadequate transportation infrastructure to reach services (work, education, training)</w:t>
            </w:r>
          </w:p>
        </w:tc>
        <w:tc>
          <w:tcPr>
            <w:tcW w:w="3261" w:type="dxa"/>
          </w:tcPr>
          <w:p w14:paraId="433496A6" w14:textId="77777777" w:rsidR="004B75E3" w:rsidRPr="00AB0571" w:rsidRDefault="004B75E3" w:rsidP="00AB0571">
            <w:pPr>
              <w:jc w:val="left"/>
              <w:rPr>
                <w:sz w:val="20"/>
                <w:szCs w:val="20"/>
              </w:rPr>
            </w:pPr>
            <w:r w:rsidRPr="00AB0571">
              <w:rPr>
                <w:sz w:val="20"/>
                <w:szCs w:val="20"/>
              </w:rPr>
              <w:t>Limited number of services designed for women incorporating women’s specific needs</w:t>
            </w:r>
          </w:p>
        </w:tc>
        <w:tc>
          <w:tcPr>
            <w:tcW w:w="3538" w:type="dxa"/>
          </w:tcPr>
          <w:p w14:paraId="538446E7" w14:textId="77777777" w:rsidR="004B75E3" w:rsidRPr="00AB0571" w:rsidRDefault="004B75E3" w:rsidP="00AB0571">
            <w:pPr>
              <w:jc w:val="left"/>
              <w:rPr>
                <w:sz w:val="20"/>
                <w:szCs w:val="20"/>
              </w:rPr>
            </w:pPr>
            <w:r w:rsidRPr="00AB0571">
              <w:rPr>
                <w:sz w:val="20"/>
                <w:szCs w:val="20"/>
              </w:rPr>
              <w:t>Identify opportunities to work with bus companies or corporates which support women-focused services (such school services etc</w:t>
            </w:r>
            <w:proofErr w:type="gramStart"/>
            <w:r w:rsidRPr="00AB0571">
              <w:rPr>
                <w:sz w:val="20"/>
                <w:szCs w:val="20"/>
              </w:rPr>
              <w:t>), or</w:t>
            </w:r>
            <w:proofErr w:type="gramEnd"/>
            <w:r w:rsidRPr="00AB0571">
              <w:rPr>
                <w:sz w:val="20"/>
                <w:szCs w:val="20"/>
              </w:rPr>
              <w:t xml:space="preserve"> working with the counterparties to develop initiatives.</w:t>
            </w:r>
          </w:p>
        </w:tc>
      </w:tr>
      <w:tr w:rsidR="00F821FB" w14:paraId="0305D33B" w14:textId="77777777" w:rsidTr="00CF0B4F">
        <w:trPr>
          <w:jc w:val="center"/>
        </w:trPr>
        <w:tc>
          <w:tcPr>
            <w:tcW w:w="2263" w:type="dxa"/>
            <w:vMerge/>
          </w:tcPr>
          <w:p w14:paraId="7EE26F62" w14:textId="77777777" w:rsidR="004B75E3" w:rsidRPr="00873187" w:rsidRDefault="004B75E3" w:rsidP="00873187">
            <w:pPr>
              <w:jc w:val="left"/>
              <w:rPr>
                <w:sz w:val="20"/>
                <w:szCs w:val="20"/>
              </w:rPr>
            </w:pPr>
          </w:p>
        </w:tc>
        <w:tc>
          <w:tcPr>
            <w:tcW w:w="3261" w:type="dxa"/>
            <w:vMerge w:val="restart"/>
          </w:tcPr>
          <w:p w14:paraId="4FD7F444" w14:textId="77777777" w:rsidR="004B75E3" w:rsidRPr="00873187" w:rsidRDefault="004B75E3" w:rsidP="00072B3C">
            <w:pPr>
              <w:jc w:val="left"/>
              <w:rPr>
                <w:sz w:val="20"/>
                <w:szCs w:val="20"/>
              </w:rPr>
            </w:pPr>
            <w:r w:rsidRPr="00873187">
              <w:rPr>
                <w:sz w:val="20"/>
                <w:szCs w:val="20"/>
              </w:rPr>
              <w:t>Women’s specific requirements not adequately incorporated into project-design</w:t>
            </w:r>
          </w:p>
        </w:tc>
        <w:tc>
          <w:tcPr>
            <w:tcW w:w="3538" w:type="dxa"/>
          </w:tcPr>
          <w:p w14:paraId="2AC2C3AC" w14:textId="3E890A24" w:rsidR="004B75E3" w:rsidRPr="00AB0571" w:rsidRDefault="004B75E3" w:rsidP="00AB0571">
            <w:pPr>
              <w:jc w:val="left"/>
              <w:rPr>
                <w:sz w:val="20"/>
                <w:szCs w:val="20"/>
              </w:rPr>
            </w:pPr>
            <w:r w:rsidRPr="00873187">
              <w:rPr>
                <w:sz w:val="20"/>
                <w:szCs w:val="20"/>
              </w:rPr>
              <w:t xml:space="preserve">Upfront gender assessment to identify whether there are opportunities to optimise the placement of charging points for increased use of </w:t>
            </w:r>
            <w:r w:rsidR="00143368">
              <w:rPr>
                <w:sz w:val="20"/>
                <w:szCs w:val="20"/>
              </w:rPr>
              <w:t>EVs</w:t>
            </w:r>
            <w:r w:rsidRPr="00AB0571">
              <w:rPr>
                <w:sz w:val="20"/>
                <w:szCs w:val="20"/>
              </w:rPr>
              <w:t xml:space="preserve"> by women wherever applicable (e.g., considering well-lit areas, public areas).</w:t>
            </w:r>
          </w:p>
        </w:tc>
      </w:tr>
      <w:tr w:rsidR="00F821FB" w14:paraId="30F3ABB7" w14:textId="77777777" w:rsidTr="00CF0B4F">
        <w:trPr>
          <w:jc w:val="center"/>
        </w:trPr>
        <w:tc>
          <w:tcPr>
            <w:tcW w:w="2263" w:type="dxa"/>
            <w:vMerge/>
          </w:tcPr>
          <w:p w14:paraId="0DD1DC2E" w14:textId="77777777" w:rsidR="004B75E3" w:rsidRPr="00873187" w:rsidRDefault="004B75E3" w:rsidP="00873187">
            <w:pPr>
              <w:jc w:val="left"/>
              <w:rPr>
                <w:sz w:val="20"/>
                <w:szCs w:val="20"/>
              </w:rPr>
            </w:pPr>
          </w:p>
        </w:tc>
        <w:tc>
          <w:tcPr>
            <w:tcW w:w="3261" w:type="dxa"/>
            <w:vMerge/>
          </w:tcPr>
          <w:p w14:paraId="46F8957F" w14:textId="77777777" w:rsidR="004B75E3" w:rsidRPr="00873187" w:rsidRDefault="004B75E3" w:rsidP="00873187">
            <w:pPr>
              <w:jc w:val="left"/>
              <w:rPr>
                <w:sz w:val="20"/>
                <w:szCs w:val="20"/>
              </w:rPr>
            </w:pPr>
          </w:p>
        </w:tc>
        <w:tc>
          <w:tcPr>
            <w:tcW w:w="3538" w:type="dxa"/>
          </w:tcPr>
          <w:p w14:paraId="498BF93C" w14:textId="77777777" w:rsidR="004B75E3" w:rsidRPr="00873187" w:rsidRDefault="004B75E3" w:rsidP="00072B3C">
            <w:pPr>
              <w:jc w:val="left"/>
              <w:rPr>
                <w:sz w:val="20"/>
                <w:szCs w:val="20"/>
              </w:rPr>
            </w:pPr>
            <w:r w:rsidRPr="00873187">
              <w:rPr>
                <w:sz w:val="20"/>
                <w:szCs w:val="20"/>
              </w:rPr>
              <w:t xml:space="preserve">Periodic consultation with women’s groups (e.g., women drivers associations, self-help groups for women from </w:t>
            </w:r>
            <w:proofErr w:type="gramStart"/>
            <w:r w:rsidRPr="00873187">
              <w:rPr>
                <w:sz w:val="20"/>
                <w:szCs w:val="20"/>
              </w:rPr>
              <w:t>low income</w:t>
            </w:r>
            <w:proofErr w:type="gramEnd"/>
            <w:r w:rsidRPr="00873187">
              <w:rPr>
                <w:sz w:val="20"/>
                <w:szCs w:val="20"/>
              </w:rPr>
              <w:t xml:space="preserve"> background, NGOs working on women employment) to identify potential risks and opportunities.</w:t>
            </w:r>
          </w:p>
        </w:tc>
      </w:tr>
      <w:tr w:rsidR="00F821FB" w14:paraId="6975FC7C" w14:textId="77777777" w:rsidTr="00CF0B4F">
        <w:trPr>
          <w:jc w:val="center"/>
        </w:trPr>
        <w:tc>
          <w:tcPr>
            <w:tcW w:w="2263" w:type="dxa"/>
            <w:vMerge/>
          </w:tcPr>
          <w:p w14:paraId="0DB9AF61" w14:textId="77777777" w:rsidR="004B75E3" w:rsidRPr="00873187" w:rsidRDefault="004B75E3" w:rsidP="00873187">
            <w:pPr>
              <w:jc w:val="left"/>
              <w:rPr>
                <w:sz w:val="20"/>
                <w:szCs w:val="20"/>
              </w:rPr>
            </w:pPr>
          </w:p>
        </w:tc>
        <w:tc>
          <w:tcPr>
            <w:tcW w:w="3261" w:type="dxa"/>
          </w:tcPr>
          <w:p w14:paraId="2789E020" w14:textId="77777777" w:rsidR="004B75E3" w:rsidRPr="00873187" w:rsidRDefault="004B75E3" w:rsidP="00873187">
            <w:pPr>
              <w:jc w:val="left"/>
              <w:rPr>
                <w:sz w:val="20"/>
                <w:szCs w:val="20"/>
              </w:rPr>
            </w:pPr>
            <w:r w:rsidRPr="00873187">
              <w:rPr>
                <w:sz w:val="20"/>
                <w:szCs w:val="20"/>
              </w:rPr>
              <w:t>Limited sex- disaggregated data to improve gender sensitivity in the sector or sub-sectors</w:t>
            </w:r>
          </w:p>
        </w:tc>
        <w:tc>
          <w:tcPr>
            <w:tcW w:w="3538" w:type="dxa"/>
          </w:tcPr>
          <w:p w14:paraId="6F67F4D4" w14:textId="77777777" w:rsidR="004B75E3" w:rsidRPr="00873187" w:rsidRDefault="004B75E3" w:rsidP="00873187">
            <w:pPr>
              <w:jc w:val="left"/>
              <w:rPr>
                <w:sz w:val="20"/>
                <w:szCs w:val="20"/>
              </w:rPr>
            </w:pPr>
          </w:p>
        </w:tc>
      </w:tr>
      <w:tr w:rsidR="00F821FB" w14:paraId="38609B9F" w14:textId="77777777" w:rsidTr="00CF0B4F">
        <w:trPr>
          <w:jc w:val="center"/>
        </w:trPr>
        <w:tc>
          <w:tcPr>
            <w:tcW w:w="2263" w:type="dxa"/>
            <w:vMerge w:val="restart"/>
          </w:tcPr>
          <w:p w14:paraId="6042DE94" w14:textId="77777777" w:rsidR="004B75E3" w:rsidRPr="00AB0571" w:rsidRDefault="004B75E3" w:rsidP="00AB0571">
            <w:pPr>
              <w:jc w:val="left"/>
              <w:rPr>
                <w:sz w:val="20"/>
                <w:szCs w:val="20"/>
              </w:rPr>
            </w:pPr>
            <w:r w:rsidRPr="00AB0571">
              <w:rPr>
                <w:sz w:val="20"/>
                <w:szCs w:val="20"/>
                <w:u w:val="single"/>
              </w:rPr>
              <w:t xml:space="preserve">Safety </w:t>
            </w:r>
            <w:r w:rsidRPr="00AB0571">
              <w:rPr>
                <w:rFonts w:eastAsia="Times New Roman" w:cs="Times New Roman"/>
                <w:sz w:val="20"/>
                <w:szCs w:val="20"/>
                <w:lang w:val="en"/>
              </w:rPr>
              <w:t>and security</w:t>
            </w:r>
            <w:r w:rsidRPr="00AB0571">
              <w:rPr>
                <w:sz w:val="20"/>
                <w:szCs w:val="20"/>
              </w:rPr>
              <w:t>: Gender Based Violence and Harassment</w:t>
            </w:r>
          </w:p>
        </w:tc>
        <w:tc>
          <w:tcPr>
            <w:tcW w:w="3261" w:type="dxa"/>
            <w:vMerge w:val="restart"/>
          </w:tcPr>
          <w:p w14:paraId="0061C1EB" w14:textId="77777777" w:rsidR="004B75E3" w:rsidRPr="00AB0571" w:rsidRDefault="004B75E3" w:rsidP="00AB0571">
            <w:pPr>
              <w:jc w:val="left"/>
              <w:rPr>
                <w:sz w:val="20"/>
                <w:szCs w:val="20"/>
              </w:rPr>
            </w:pPr>
            <w:r w:rsidRPr="00AB0571">
              <w:rPr>
                <w:sz w:val="20"/>
                <w:szCs w:val="20"/>
              </w:rPr>
              <w:t>Facilities around transport hubs and vehicles (e.g., poor lighting, unsupervised spaces, absence of emergency buttons, etc.)</w:t>
            </w:r>
          </w:p>
        </w:tc>
        <w:tc>
          <w:tcPr>
            <w:tcW w:w="3538" w:type="dxa"/>
          </w:tcPr>
          <w:p w14:paraId="4158F8F0" w14:textId="77777777" w:rsidR="004B75E3" w:rsidRPr="00AB0571" w:rsidRDefault="004B75E3" w:rsidP="00072B3C">
            <w:pPr>
              <w:jc w:val="left"/>
              <w:rPr>
                <w:sz w:val="20"/>
                <w:szCs w:val="20"/>
              </w:rPr>
            </w:pPr>
            <w:r w:rsidRPr="00AB0571">
              <w:rPr>
                <w:sz w:val="20"/>
                <w:szCs w:val="20"/>
              </w:rPr>
              <w:t xml:space="preserve">Conduct training to counterparties to review their existing policies and procedures for management of GBVH issues, including existing education programs, safety </w:t>
            </w:r>
            <w:r w:rsidRPr="00AB0571">
              <w:rPr>
                <w:rFonts w:eastAsia="Times New Roman" w:cs="Times New Roman"/>
                <w:sz w:val="20"/>
                <w:szCs w:val="20"/>
                <w:lang w:val="en"/>
              </w:rPr>
              <w:t>and security</w:t>
            </w:r>
            <w:r w:rsidRPr="00AB0571">
              <w:rPr>
                <w:sz w:val="20"/>
                <w:szCs w:val="20"/>
              </w:rPr>
              <w:t xml:space="preserve"> measures, trainings, and grievance mechanisms.</w:t>
            </w:r>
          </w:p>
        </w:tc>
      </w:tr>
      <w:tr w:rsidR="00F821FB" w14:paraId="012909B1" w14:textId="77777777" w:rsidTr="00CF0B4F">
        <w:trPr>
          <w:jc w:val="center"/>
        </w:trPr>
        <w:tc>
          <w:tcPr>
            <w:tcW w:w="2263" w:type="dxa"/>
            <w:vMerge/>
          </w:tcPr>
          <w:p w14:paraId="3EB1A966" w14:textId="77777777" w:rsidR="004B75E3" w:rsidRPr="00873187" w:rsidRDefault="004B75E3" w:rsidP="00873187">
            <w:pPr>
              <w:jc w:val="left"/>
              <w:rPr>
                <w:sz w:val="20"/>
                <w:szCs w:val="20"/>
              </w:rPr>
            </w:pPr>
          </w:p>
        </w:tc>
        <w:tc>
          <w:tcPr>
            <w:tcW w:w="3261" w:type="dxa"/>
            <w:vMerge/>
          </w:tcPr>
          <w:p w14:paraId="40BC79A8" w14:textId="77777777" w:rsidR="004B75E3" w:rsidRPr="00873187" w:rsidRDefault="004B75E3" w:rsidP="00873187">
            <w:pPr>
              <w:jc w:val="left"/>
              <w:rPr>
                <w:sz w:val="20"/>
                <w:szCs w:val="20"/>
              </w:rPr>
            </w:pPr>
          </w:p>
        </w:tc>
        <w:tc>
          <w:tcPr>
            <w:tcW w:w="3538" w:type="dxa"/>
          </w:tcPr>
          <w:p w14:paraId="19940670" w14:textId="77777777" w:rsidR="004B75E3" w:rsidRPr="00873187" w:rsidRDefault="004B75E3" w:rsidP="00072B3C">
            <w:pPr>
              <w:jc w:val="left"/>
              <w:rPr>
                <w:sz w:val="20"/>
                <w:szCs w:val="20"/>
              </w:rPr>
            </w:pPr>
            <w:r w:rsidRPr="00873187">
              <w:rPr>
                <w:sz w:val="20"/>
                <w:szCs w:val="20"/>
              </w:rPr>
              <w:t>Require projects to include adequate design and maintenance of lighting and CCTV cameras (or other relevant safety</w:t>
            </w:r>
            <w:r w:rsidRPr="00873187">
              <w:rPr>
                <w:rFonts w:eastAsia="Times New Roman" w:cs="Times New Roman"/>
                <w:sz w:val="20"/>
                <w:szCs w:val="20"/>
                <w:lang w:val="en"/>
              </w:rPr>
              <w:t xml:space="preserve"> and security</w:t>
            </w:r>
            <w:r w:rsidRPr="00873187">
              <w:rPr>
                <w:sz w:val="20"/>
                <w:szCs w:val="20"/>
              </w:rPr>
              <w:t xml:space="preserve"> features at charging infrastructure points).</w:t>
            </w:r>
          </w:p>
        </w:tc>
      </w:tr>
      <w:tr w:rsidR="00F821FB" w14:paraId="6AE21074" w14:textId="77777777" w:rsidTr="00CF0B4F">
        <w:trPr>
          <w:jc w:val="center"/>
        </w:trPr>
        <w:tc>
          <w:tcPr>
            <w:tcW w:w="2263" w:type="dxa"/>
            <w:vMerge/>
          </w:tcPr>
          <w:p w14:paraId="2F22448C" w14:textId="77777777" w:rsidR="004B75E3" w:rsidRPr="00873187" w:rsidRDefault="004B75E3" w:rsidP="00873187">
            <w:pPr>
              <w:jc w:val="left"/>
              <w:rPr>
                <w:sz w:val="20"/>
                <w:szCs w:val="20"/>
              </w:rPr>
            </w:pPr>
          </w:p>
        </w:tc>
        <w:tc>
          <w:tcPr>
            <w:tcW w:w="3261" w:type="dxa"/>
            <w:vMerge/>
          </w:tcPr>
          <w:p w14:paraId="50AC8B8C" w14:textId="77777777" w:rsidR="004B75E3" w:rsidRPr="00873187" w:rsidRDefault="004B75E3" w:rsidP="00873187">
            <w:pPr>
              <w:jc w:val="left"/>
              <w:rPr>
                <w:sz w:val="20"/>
                <w:szCs w:val="20"/>
              </w:rPr>
            </w:pPr>
          </w:p>
        </w:tc>
        <w:tc>
          <w:tcPr>
            <w:tcW w:w="3538" w:type="dxa"/>
          </w:tcPr>
          <w:p w14:paraId="067247CA" w14:textId="77777777" w:rsidR="004B75E3" w:rsidRPr="00873187" w:rsidRDefault="004B75E3" w:rsidP="00072B3C">
            <w:pPr>
              <w:jc w:val="left"/>
              <w:rPr>
                <w:sz w:val="20"/>
                <w:szCs w:val="20"/>
              </w:rPr>
            </w:pPr>
            <w:r w:rsidRPr="00873187">
              <w:rPr>
                <w:sz w:val="20"/>
                <w:szCs w:val="20"/>
              </w:rPr>
              <w:t xml:space="preserve">Require reporting/representation from counterparties that the vehicles are aligned with safety </w:t>
            </w:r>
            <w:r w:rsidRPr="00873187">
              <w:rPr>
                <w:rFonts w:eastAsia="Times New Roman" w:cs="Times New Roman"/>
                <w:sz w:val="20"/>
                <w:szCs w:val="20"/>
                <w:lang w:val="en"/>
              </w:rPr>
              <w:t>and security</w:t>
            </w:r>
            <w:r w:rsidRPr="00873187">
              <w:rPr>
                <w:sz w:val="20"/>
                <w:szCs w:val="20"/>
              </w:rPr>
              <w:t xml:space="preserve"> requirements as mandated by authorities/relevant concession agreements.</w:t>
            </w:r>
          </w:p>
        </w:tc>
      </w:tr>
      <w:tr w:rsidR="00F821FB" w14:paraId="4C5C1D43" w14:textId="77777777" w:rsidTr="00CF0B4F">
        <w:trPr>
          <w:jc w:val="center"/>
        </w:trPr>
        <w:tc>
          <w:tcPr>
            <w:tcW w:w="2263" w:type="dxa"/>
            <w:vMerge/>
          </w:tcPr>
          <w:p w14:paraId="4134A6CD" w14:textId="77777777" w:rsidR="004B75E3" w:rsidRPr="00873187" w:rsidRDefault="004B75E3" w:rsidP="00873187">
            <w:pPr>
              <w:jc w:val="left"/>
              <w:rPr>
                <w:sz w:val="20"/>
                <w:szCs w:val="20"/>
              </w:rPr>
            </w:pPr>
          </w:p>
        </w:tc>
        <w:tc>
          <w:tcPr>
            <w:tcW w:w="3261" w:type="dxa"/>
            <w:vMerge/>
          </w:tcPr>
          <w:p w14:paraId="1BEFE5DC" w14:textId="77777777" w:rsidR="004B75E3" w:rsidRPr="00873187" w:rsidRDefault="004B75E3" w:rsidP="00873187">
            <w:pPr>
              <w:jc w:val="left"/>
              <w:rPr>
                <w:sz w:val="20"/>
                <w:szCs w:val="20"/>
              </w:rPr>
            </w:pPr>
          </w:p>
        </w:tc>
        <w:tc>
          <w:tcPr>
            <w:tcW w:w="3538" w:type="dxa"/>
          </w:tcPr>
          <w:p w14:paraId="5D51E52A" w14:textId="77777777" w:rsidR="004B75E3" w:rsidRPr="00873187" w:rsidRDefault="004B75E3" w:rsidP="00072B3C">
            <w:pPr>
              <w:jc w:val="left"/>
              <w:rPr>
                <w:sz w:val="20"/>
                <w:szCs w:val="20"/>
              </w:rPr>
            </w:pPr>
            <w:r w:rsidRPr="00873187">
              <w:rPr>
                <w:sz w:val="20"/>
                <w:szCs w:val="20"/>
              </w:rPr>
              <w:t xml:space="preserve">Conduct stakeholder consultations with public and private entities around the design of projects to provide views and data on relevant and improved safety </w:t>
            </w:r>
            <w:r w:rsidRPr="00873187">
              <w:rPr>
                <w:rFonts w:eastAsia="Times New Roman" w:cs="Times New Roman"/>
                <w:sz w:val="20"/>
                <w:szCs w:val="20"/>
                <w:lang w:val="en"/>
              </w:rPr>
              <w:t>and security</w:t>
            </w:r>
            <w:r w:rsidRPr="00873187">
              <w:rPr>
                <w:sz w:val="20"/>
                <w:szCs w:val="20"/>
              </w:rPr>
              <w:t xml:space="preserve"> features. </w:t>
            </w:r>
          </w:p>
        </w:tc>
      </w:tr>
      <w:tr w:rsidR="00F821FB" w14:paraId="7A3EE5D4" w14:textId="77777777" w:rsidTr="00CF0B4F">
        <w:trPr>
          <w:jc w:val="center"/>
        </w:trPr>
        <w:tc>
          <w:tcPr>
            <w:tcW w:w="2263" w:type="dxa"/>
            <w:vMerge/>
          </w:tcPr>
          <w:p w14:paraId="5F1A4C2A" w14:textId="77777777" w:rsidR="004B75E3" w:rsidRPr="00873187" w:rsidRDefault="004B75E3" w:rsidP="00873187">
            <w:pPr>
              <w:jc w:val="left"/>
              <w:rPr>
                <w:sz w:val="20"/>
                <w:szCs w:val="20"/>
              </w:rPr>
            </w:pPr>
          </w:p>
        </w:tc>
        <w:tc>
          <w:tcPr>
            <w:tcW w:w="3261" w:type="dxa"/>
          </w:tcPr>
          <w:p w14:paraId="0EE8E152" w14:textId="77777777" w:rsidR="004B75E3" w:rsidRPr="00873187" w:rsidRDefault="004B75E3" w:rsidP="00873187">
            <w:pPr>
              <w:jc w:val="left"/>
              <w:rPr>
                <w:sz w:val="20"/>
                <w:szCs w:val="20"/>
              </w:rPr>
            </w:pPr>
            <w:r w:rsidRPr="00873187">
              <w:rPr>
                <w:sz w:val="20"/>
                <w:szCs w:val="20"/>
              </w:rPr>
              <w:t>Behavioural aspects (</w:t>
            </w:r>
            <w:proofErr w:type="gramStart"/>
            <w:r w:rsidRPr="00873187">
              <w:rPr>
                <w:sz w:val="20"/>
                <w:szCs w:val="20"/>
              </w:rPr>
              <w:t>e.g.</w:t>
            </w:r>
            <w:proofErr w:type="gramEnd"/>
            <w:r w:rsidRPr="00873187">
              <w:rPr>
                <w:sz w:val="20"/>
                <w:szCs w:val="20"/>
              </w:rPr>
              <w:t xml:space="preserve"> physical violence and sexual harassment, lack of clear codes of conduct for employees, etc.)</w:t>
            </w:r>
          </w:p>
        </w:tc>
        <w:tc>
          <w:tcPr>
            <w:tcW w:w="3538" w:type="dxa"/>
          </w:tcPr>
          <w:p w14:paraId="1718B626" w14:textId="77777777" w:rsidR="004B75E3" w:rsidRPr="00873187" w:rsidRDefault="004B75E3" w:rsidP="00072B3C">
            <w:pPr>
              <w:jc w:val="left"/>
              <w:rPr>
                <w:sz w:val="20"/>
                <w:szCs w:val="20"/>
              </w:rPr>
            </w:pPr>
            <w:r w:rsidRPr="00873187">
              <w:rPr>
                <w:sz w:val="20"/>
                <w:szCs w:val="20"/>
              </w:rPr>
              <w:t>Review training programs periodically delivered by counterparties to drivers and transport workers on gender sensitivity and how to report and refer incidents of GBVH. Where counterparties do not have existing training programs, offer relevant training for drivers and other employees on gender sensitivity and how to manage incidents of GBVH.</w:t>
            </w:r>
          </w:p>
        </w:tc>
      </w:tr>
      <w:tr w:rsidR="00F821FB" w14:paraId="7A41C69E" w14:textId="77777777" w:rsidTr="00CF0B4F">
        <w:trPr>
          <w:jc w:val="center"/>
        </w:trPr>
        <w:tc>
          <w:tcPr>
            <w:tcW w:w="2263" w:type="dxa"/>
            <w:vMerge w:val="restart"/>
          </w:tcPr>
          <w:p w14:paraId="555E4047" w14:textId="77777777" w:rsidR="004B75E3" w:rsidRPr="00AB0571" w:rsidRDefault="004B75E3" w:rsidP="00AB0571">
            <w:pPr>
              <w:jc w:val="left"/>
              <w:rPr>
                <w:sz w:val="20"/>
                <w:szCs w:val="20"/>
              </w:rPr>
            </w:pPr>
            <w:r w:rsidRPr="00AB0571">
              <w:rPr>
                <w:sz w:val="20"/>
                <w:szCs w:val="20"/>
                <w:u w:val="single"/>
              </w:rPr>
              <w:t>Jobs</w:t>
            </w:r>
            <w:r w:rsidRPr="00AB0571">
              <w:rPr>
                <w:sz w:val="20"/>
                <w:szCs w:val="20"/>
              </w:rPr>
              <w:t>: Women’s involvement in transport related jobs</w:t>
            </w:r>
          </w:p>
        </w:tc>
        <w:tc>
          <w:tcPr>
            <w:tcW w:w="3261" w:type="dxa"/>
            <w:vMerge w:val="restart"/>
          </w:tcPr>
          <w:p w14:paraId="1BD4C3C7" w14:textId="77777777" w:rsidR="004B75E3" w:rsidRPr="00AB0571" w:rsidRDefault="004B75E3" w:rsidP="00AB0571">
            <w:pPr>
              <w:jc w:val="left"/>
              <w:rPr>
                <w:sz w:val="20"/>
                <w:szCs w:val="20"/>
              </w:rPr>
            </w:pPr>
            <w:r w:rsidRPr="00AB0571">
              <w:rPr>
                <w:sz w:val="20"/>
                <w:szCs w:val="20"/>
              </w:rPr>
              <w:t>Due to societal and cultural practices, women are less likely to be involved in decision making which may exacerbate gender blindness in project design</w:t>
            </w:r>
          </w:p>
        </w:tc>
        <w:tc>
          <w:tcPr>
            <w:tcW w:w="3538" w:type="dxa"/>
          </w:tcPr>
          <w:p w14:paraId="4C6776EB" w14:textId="77777777" w:rsidR="004B75E3" w:rsidRPr="00AB0571" w:rsidRDefault="004B75E3" w:rsidP="00072B3C">
            <w:pPr>
              <w:jc w:val="left"/>
              <w:rPr>
                <w:sz w:val="20"/>
                <w:szCs w:val="20"/>
              </w:rPr>
            </w:pPr>
            <w:r w:rsidRPr="00AB0571">
              <w:rPr>
                <w:sz w:val="20"/>
                <w:szCs w:val="20"/>
              </w:rPr>
              <w:t>Ensure women and vulnerable groups have an active role in project and sector level stakeholder consultations.</w:t>
            </w:r>
          </w:p>
        </w:tc>
      </w:tr>
      <w:tr w:rsidR="00F821FB" w14:paraId="022EC89E" w14:textId="77777777" w:rsidTr="00CF0B4F">
        <w:trPr>
          <w:jc w:val="center"/>
        </w:trPr>
        <w:tc>
          <w:tcPr>
            <w:tcW w:w="2263" w:type="dxa"/>
            <w:vMerge/>
          </w:tcPr>
          <w:p w14:paraId="08733065" w14:textId="77777777" w:rsidR="004B75E3" w:rsidRPr="00873187" w:rsidRDefault="004B75E3" w:rsidP="00873187">
            <w:pPr>
              <w:jc w:val="left"/>
              <w:rPr>
                <w:sz w:val="20"/>
                <w:szCs w:val="20"/>
              </w:rPr>
            </w:pPr>
          </w:p>
        </w:tc>
        <w:tc>
          <w:tcPr>
            <w:tcW w:w="3261" w:type="dxa"/>
            <w:vMerge/>
          </w:tcPr>
          <w:p w14:paraId="46144A37" w14:textId="77777777" w:rsidR="004B75E3" w:rsidRPr="00873187" w:rsidRDefault="004B75E3" w:rsidP="00873187">
            <w:pPr>
              <w:jc w:val="left"/>
              <w:rPr>
                <w:sz w:val="20"/>
                <w:szCs w:val="20"/>
              </w:rPr>
            </w:pPr>
          </w:p>
        </w:tc>
        <w:tc>
          <w:tcPr>
            <w:tcW w:w="3538" w:type="dxa"/>
          </w:tcPr>
          <w:p w14:paraId="136FEA50" w14:textId="77777777" w:rsidR="004B75E3" w:rsidRPr="00873187" w:rsidRDefault="004B75E3" w:rsidP="00072B3C">
            <w:pPr>
              <w:jc w:val="left"/>
              <w:rPr>
                <w:sz w:val="20"/>
                <w:szCs w:val="20"/>
              </w:rPr>
            </w:pPr>
            <w:r w:rsidRPr="00873187">
              <w:rPr>
                <w:sz w:val="20"/>
                <w:szCs w:val="20"/>
              </w:rPr>
              <w:t>Enhance accessibility of jobs related to the E-motion programme for women</w:t>
            </w:r>
          </w:p>
        </w:tc>
      </w:tr>
      <w:tr w:rsidR="00F821FB" w14:paraId="2AA35755" w14:textId="77777777" w:rsidTr="00CF0B4F">
        <w:trPr>
          <w:jc w:val="center"/>
        </w:trPr>
        <w:tc>
          <w:tcPr>
            <w:tcW w:w="2263" w:type="dxa"/>
          </w:tcPr>
          <w:p w14:paraId="16EE1D64" w14:textId="77777777" w:rsidR="004B75E3" w:rsidRPr="00AB0571" w:rsidRDefault="004B75E3" w:rsidP="00AB0571">
            <w:pPr>
              <w:jc w:val="left"/>
              <w:rPr>
                <w:sz w:val="20"/>
                <w:szCs w:val="20"/>
              </w:rPr>
            </w:pPr>
            <w:r w:rsidRPr="00AB0571">
              <w:rPr>
                <w:sz w:val="20"/>
                <w:szCs w:val="20"/>
              </w:rPr>
              <w:t>Need for capacity building and knowledge dissemination for gender considerations in the e-mobility sector</w:t>
            </w:r>
          </w:p>
        </w:tc>
        <w:tc>
          <w:tcPr>
            <w:tcW w:w="3261" w:type="dxa"/>
          </w:tcPr>
          <w:p w14:paraId="47EA52BB" w14:textId="77777777" w:rsidR="004B75E3" w:rsidRPr="00AB0571" w:rsidRDefault="004B75E3" w:rsidP="00AB0571">
            <w:pPr>
              <w:jc w:val="left"/>
              <w:rPr>
                <w:sz w:val="20"/>
                <w:szCs w:val="20"/>
              </w:rPr>
            </w:pPr>
            <w:r w:rsidRPr="00AB0571">
              <w:rPr>
                <w:sz w:val="20"/>
                <w:szCs w:val="20"/>
              </w:rPr>
              <w:t>Awareness of gender mainstreaming may be limited in the transportation, e-</w:t>
            </w:r>
            <w:proofErr w:type="gramStart"/>
            <w:r w:rsidRPr="00AB0571">
              <w:rPr>
                <w:sz w:val="20"/>
                <w:szCs w:val="20"/>
              </w:rPr>
              <w:t>mobility</w:t>
            </w:r>
            <w:proofErr w:type="gramEnd"/>
            <w:r w:rsidRPr="00AB0571">
              <w:rPr>
                <w:sz w:val="20"/>
                <w:szCs w:val="20"/>
              </w:rPr>
              <w:t xml:space="preserve"> and financing sectors</w:t>
            </w:r>
          </w:p>
        </w:tc>
        <w:tc>
          <w:tcPr>
            <w:tcW w:w="3538" w:type="dxa"/>
          </w:tcPr>
          <w:p w14:paraId="03749BC4" w14:textId="77777777" w:rsidR="004B75E3" w:rsidRPr="00AB0571" w:rsidRDefault="004B75E3" w:rsidP="00072B3C">
            <w:pPr>
              <w:jc w:val="left"/>
              <w:rPr>
                <w:sz w:val="20"/>
                <w:szCs w:val="20"/>
              </w:rPr>
            </w:pPr>
            <w:r w:rsidRPr="00AB0571">
              <w:rPr>
                <w:sz w:val="20"/>
                <w:szCs w:val="20"/>
              </w:rPr>
              <w:t>Capacity building through trainings and workshops to increase awareness of gender sensitivity. Promote multi- stakeholder discussions to integrate gender considerations across the sector.</w:t>
            </w:r>
          </w:p>
        </w:tc>
      </w:tr>
      <w:tr w:rsidR="00F821FB" w14:paraId="40172E84" w14:textId="77777777" w:rsidTr="00CF0B4F">
        <w:trPr>
          <w:jc w:val="center"/>
        </w:trPr>
        <w:tc>
          <w:tcPr>
            <w:tcW w:w="2263" w:type="dxa"/>
          </w:tcPr>
          <w:p w14:paraId="290FADC8" w14:textId="77777777" w:rsidR="004B75E3" w:rsidRPr="00AB0571" w:rsidRDefault="004B75E3" w:rsidP="00AB0571">
            <w:pPr>
              <w:jc w:val="left"/>
              <w:rPr>
                <w:sz w:val="20"/>
                <w:szCs w:val="20"/>
              </w:rPr>
            </w:pPr>
          </w:p>
        </w:tc>
        <w:tc>
          <w:tcPr>
            <w:tcW w:w="3261" w:type="dxa"/>
          </w:tcPr>
          <w:p w14:paraId="598AA68C" w14:textId="77777777" w:rsidR="004B75E3" w:rsidRPr="00AB0571" w:rsidRDefault="004B75E3" w:rsidP="00AB0571">
            <w:pPr>
              <w:jc w:val="left"/>
              <w:rPr>
                <w:sz w:val="20"/>
                <w:szCs w:val="20"/>
              </w:rPr>
            </w:pPr>
            <w:r w:rsidRPr="00AB0571">
              <w:rPr>
                <w:sz w:val="20"/>
                <w:szCs w:val="20"/>
              </w:rPr>
              <w:t>Limited availability of sex-disaggregated data in the e-mobility space</w:t>
            </w:r>
          </w:p>
        </w:tc>
        <w:tc>
          <w:tcPr>
            <w:tcW w:w="3538" w:type="dxa"/>
          </w:tcPr>
          <w:p w14:paraId="37244158" w14:textId="77777777" w:rsidR="004B75E3" w:rsidRPr="00AB0571" w:rsidRDefault="004B75E3" w:rsidP="00072B3C">
            <w:pPr>
              <w:jc w:val="left"/>
              <w:rPr>
                <w:sz w:val="20"/>
                <w:szCs w:val="20"/>
              </w:rPr>
            </w:pPr>
            <w:r w:rsidRPr="00AB0571">
              <w:rPr>
                <w:sz w:val="20"/>
                <w:szCs w:val="20"/>
              </w:rPr>
              <w:t>Ensure each sub-project collects sex-disaggregated data which can be used to identify risks, mitigants and opportunities.</w:t>
            </w:r>
          </w:p>
        </w:tc>
      </w:tr>
      <w:tr w:rsidR="00F821FB" w14:paraId="77F71FA6" w14:textId="77777777" w:rsidTr="00CF0B4F">
        <w:trPr>
          <w:jc w:val="center"/>
        </w:trPr>
        <w:tc>
          <w:tcPr>
            <w:tcW w:w="2263" w:type="dxa"/>
          </w:tcPr>
          <w:p w14:paraId="5FDE1FB2" w14:textId="77777777" w:rsidR="004B75E3" w:rsidRPr="00AB0571" w:rsidRDefault="004B75E3" w:rsidP="00AB0571">
            <w:pPr>
              <w:jc w:val="left"/>
              <w:rPr>
                <w:sz w:val="20"/>
                <w:szCs w:val="20"/>
              </w:rPr>
            </w:pPr>
          </w:p>
        </w:tc>
        <w:tc>
          <w:tcPr>
            <w:tcW w:w="3261" w:type="dxa"/>
          </w:tcPr>
          <w:p w14:paraId="6772E407" w14:textId="77777777" w:rsidR="004B75E3" w:rsidRPr="00AB0571" w:rsidRDefault="004B75E3" w:rsidP="00AB0571">
            <w:pPr>
              <w:jc w:val="left"/>
              <w:rPr>
                <w:sz w:val="20"/>
                <w:szCs w:val="20"/>
              </w:rPr>
            </w:pPr>
            <w:r w:rsidRPr="00AB0571">
              <w:rPr>
                <w:sz w:val="20"/>
                <w:szCs w:val="20"/>
              </w:rPr>
              <w:t>Knowledge sharing of lessons learned is limited</w:t>
            </w:r>
          </w:p>
        </w:tc>
        <w:tc>
          <w:tcPr>
            <w:tcW w:w="3538" w:type="dxa"/>
          </w:tcPr>
          <w:p w14:paraId="3DA2BDC1" w14:textId="77777777" w:rsidR="004B75E3" w:rsidRPr="00AB0571" w:rsidRDefault="004B75E3" w:rsidP="00072B3C">
            <w:pPr>
              <w:jc w:val="left"/>
              <w:rPr>
                <w:sz w:val="20"/>
                <w:szCs w:val="20"/>
              </w:rPr>
            </w:pPr>
            <w:r w:rsidRPr="00AB0571">
              <w:rPr>
                <w:sz w:val="20"/>
                <w:szCs w:val="20"/>
              </w:rPr>
              <w:t>Promote examples of lessons learned through data collection or sub-project implementation through thought leadership or otherwise to contribute to developing best practice.</w:t>
            </w:r>
          </w:p>
        </w:tc>
      </w:tr>
    </w:tbl>
    <w:p w14:paraId="3D0C1BA8" w14:textId="5F44FC29" w:rsidR="004B75E3" w:rsidRDefault="00C51319" w:rsidP="00E64805">
      <w:pPr>
        <w:pStyle w:val="Prrafodelista"/>
        <w:jc w:val="center"/>
      </w:pPr>
      <w:r>
        <w:t xml:space="preserve">Source: </w:t>
      </w:r>
      <w:r w:rsidR="00437923">
        <w:t>Annex 8</w:t>
      </w:r>
      <w:r w:rsidR="001F5983">
        <w:t xml:space="preserve"> to Funding Proposal</w:t>
      </w:r>
      <w:r w:rsidR="00437923">
        <w:t>: Gender Assessment Report</w:t>
      </w:r>
    </w:p>
    <w:p w14:paraId="651F3393" w14:textId="77777777" w:rsidR="00FD3726" w:rsidRDefault="00FD3726" w:rsidP="00E64805">
      <w:pPr>
        <w:pStyle w:val="Prrafodelista"/>
        <w:jc w:val="center"/>
      </w:pPr>
    </w:p>
    <w:p w14:paraId="229DDE0C" w14:textId="77777777" w:rsidR="00FD3726" w:rsidRDefault="00FD3726" w:rsidP="00E64805">
      <w:pPr>
        <w:pStyle w:val="Prrafodelista"/>
        <w:jc w:val="center"/>
      </w:pPr>
    </w:p>
    <w:p w14:paraId="74DF007F" w14:textId="77777777" w:rsidR="00FD3726" w:rsidRDefault="00FD3726" w:rsidP="00E64805">
      <w:pPr>
        <w:pStyle w:val="Prrafodelista"/>
        <w:jc w:val="center"/>
      </w:pPr>
    </w:p>
    <w:p w14:paraId="19D36815" w14:textId="77777777" w:rsidR="00FD3726" w:rsidRDefault="00FD3726" w:rsidP="00E64805">
      <w:pPr>
        <w:pStyle w:val="Prrafodelista"/>
        <w:jc w:val="center"/>
      </w:pPr>
    </w:p>
    <w:p w14:paraId="40B2CD9B" w14:textId="77777777" w:rsidR="00FD3726" w:rsidRDefault="00FD3726" w:rsidP="00E64805">
      <w:pPr>
        <w:pStyle w:val="Prrafodelista"/>
        <w:jc w:val="center"/>
      </w:pPr>
    </w:p>
    <w:p w14:paraId="113B2F7E" w14:textId="77777777" w:rsidR="00FD3726" w:rsidRDefault="00FD3726" w:rsidP="00E64805">
      <w:pPr>
        <w:pStyle w:val="Prrafodelista"/>
        <w:jc w:val="center"/>
      </w:pPr>
    </w:p>
    <w:p w14:paraId="6E939F88" w14:textId="77777777" w:rsidR="00FD3726" w:rsidRDefault="00FD3726" w:rsidP="00E64805">
      <w:pPr>
        <w:pStyle w:val="Prrafodelista"/>
        <w:jc w:val="center"/>
      </w:pPr>
    </w:p>
    <w:p w14:paraId="5AB01DF0" w14:textId="77777777" w:rsidR="00FD3726" w:rsidRDefault="00FD3726" w:rsidP="00E64805">
      <w:pPr>
        <w:pStyle w:val="Prrafodelista"/>
        <w:jc w:val="center"/>
      </w:pPr>
    </w:p>
    <w:p w14:paraId="17882FD4" w14:textId="77777777" w:rsidR="00FD3726" w:rsidRDefault="00FD3726" w:rsidP="00E64805">
      <w:pPr>
        <w:pStyle w:val="Prrafodelista"/>
        <w:jc w:val="center"/>
      </w:pPr>
    </w:p>
    <w:p w14:paraId="2D8B6659" w14:textId="77777777" w:rsidR="00FD3726" w:rsidRDefault="00FD3726" w:rsidP="00E64805">
      <w:pPr>
        <w:pStyle w:val="Prrafodelista"/>
        <w:jc w:val="center"/>
      </w:pPr>
    </w:p>
    <w:p w14:paraId="19C63A35" w14:textId="77777777" w:rsidR="00FD3726" w:rsidRDefault="00FD3726" w:rsidP="00E64805">
      <w:pPr>
        <w:pStyle w:val="Prrafodelista"/>
        <w:jc w:val="center"/>
      </w:pPr>
    </w:p>
    <w:p w14:paraId="5F5BBFBF" w14:textId="77777777" w:rsidR="00FD3726" w:rsidRDefault="00FD3726" w:rsidP="00E64805">
      <w:pPr>
        <w:pStyle w:val="Prrafodelista"/>
        <w:jc w:val="center"/>
      </w:pPr>
    </w:p>
    <w:p w14:paraId="41F3D785" w14:textId="77777777" w:rsidR="00FD3726" w:rsidRDefault="00FD3726" w:rsidP="00E64805">
      <w:pPr>
        <w:pStyle w:val="Prrafodelista"/>
        <w:jc w:val="center"/>
      </w:pPr>
    </w:p>
    <w:p w14:paraId="0B899F51" w14:textId="77777777" w:rsidR="00FD3726" w:rsidRDefault="00FD3726" w:rsidP="00E64805">
      <w:pPr>
        <w:pStyle w:val="Prrafodelista"/>
        <w:jc w:val="center"/>
      </w:pPr>
    </w:p>
    <w:p w14:paraId="6FEB07BF" w14:textId="77777777" w:rsidR="00FD3726" w:rsidRDefault="00FD3726" w:rsidP="00E64805">
      <w:pPr>
        <w:pStyle w:val="Prrafodelista"/>
        <w:jc w:val="center"/>
      </w:pPr>
    </w:p>
    <w:p w14:paraId="43C09254" w14:textId="77777777" w:rsidR="00FD3726" w:rsidRDefault="00FD3726" w:rsidP="00E64805">
      <w:pPr>
        <w:pStyle w:val="Prrafodelista"/>
        <w:jc w:val="center"/>
      </w:pPr>
    </w:p>
    <w:p w14:paraId="06E35C00" w14:textId="77777777" w:rsidR="00FD3726" w:rsidRDefault="00FD3726" w:rsidP="00E64805">
      <w:pPr>
        <w:pStyle w:val="Prrafodelista"/>
        <w:jc w:val="center"/>
      </w:pPr>
    </w:p>
    <w:p w14:paraId="3927B835" w14:textId="77777777" w:rsidR="00FD3726" w:rsidRDefault="00FD3726" w:rsidP="00E64805">
      <w:pPr>
        <w:pStyle w:val="Prrafodelista"/>
        <w:jc w:val="center"/>
      </w:pPr>
    </w:p>
    <w:p w14:paraId="02DBC07D" w14:textId="77777777" w:rsidR="00FD3726" w:rsidRDefault="00FD3726" w:rsidP="00E64805">
      <w:pPr>
        <w:pStyle w:val="Prrafodelista"/>
        <w:jc w:val="center"/>
      </w:pPr>
    </w:p>
    <w:p w14:paraId="5C935C7D" w14:textId="77777777" w:rsidR="00FD3726" w:rsidRDefault="00FD3726" w:rsidP="00E64805">
      <w:pPr>
        <w:pStyle w:val="Prrafodelista"/>
        <w:jc w:val="center"/>
      </w:pPr>
    </w:p>
    <w:p w14:paraId="47B0DEDE" w14:textId="77777777" w:rsidR="00FD3726" w:rsidRDefault="00FD3726" w:rsidP="00E64805">
      <w:pPr>
        <w:pStyle w:val="Prrafodelista"/>
        <w:jc w:val="center"/>
      </w:pPr>
    </w:p>
    <w:p w14:paraId="72F02F6A" w14:textId="09521CBE" w:rsidR="00FD3726" w:rsidRDefault="00FD3726" w:rsidP="00994DC8">
      <w:pPr>
        <w:pStyle w:val="Ttulo1"/>
        <w:spacing w:before="0" w:after="0" w:line="240" w:lineRule="auto"/>
      </w:pPr>
      <w:bookmarkStart w:id="208" w:name="_Toc114152254"/>
      <w:r w:rsidRPr="00B53DEB">
        <w:t xml:space="preserve">Annex </w:t>
      </w:r>
      <w:r>
        <w:t xml:space="preserve">9: </w:t>
      </w:r>
      <w:r w:rsidR="00994DC8">
        <w:t>Indicative outline of resettlement Plan</w:t>
      </w:r>
      <w:bookmarkEnd w:id="208"/>
      <w:r w:rsidR="00994DC8">
        <w:t xml:space="preserve"> </w:t>
      </w:r>
    </w:p>
    <w:p w14:paraId="672CE980" w14:textId="77777777" w:rsidR="00994DC8" w:rsidRDefault="00994DC8" w:rsidP="00994DC8">
      <w:pPr>
        <w:spacing w:after="0" w:line="240" w:lineRule="auto"/>
        <w:rPr>
          <w:b/>
          <w:bCs/>
          <w:lang w:val="en"/>
        </w:rPr>
      </w:pPr>
    </w:p>
    <w:p w14:paraId="3D9173CD" w14:textId="39896678" w:rsidR="00492B2B" w:rsidRPr="0094089F" w:rsidRDefault="00492B2B" w:rsidP="00994DC8">
      <w:pPr>
        <w:spacing w:after="0" w:line="240" w:lineRule="auto"/>
        <w:rPr>
          <w:b/>
          <w:bCs/>
          <w:lang w:val="en"/>
        </w:rPr>
      </w:pPr>
      <w:r w:rsidRPr="0094089F">
        <w:rPr>
          <w:b/>
          <w:bCs/>
          <w:lang w:val="en"/>
        </w:rPr>
        <w:t>Introduction:</w:t>
      </w:r>
    </w:p>
    <w:p w14:paraId="219D93CA" w14:textId="77777777" w:rsidR="00994DC8" w:rsidRDefault="00994DC8" w:rsidP="00994DC8">
      <w:pPr>
        <w:spacing w:after="0" w:line="240" w:lineRule="auto"/>
        <w:rPr>
          <w:lang w:val="en"/>
        </w:rPr>
      </w:pPr>
    </w:p>
    <w:p w14:paraId="10145053" w14:textId="0A31552F" w:rsidR="00492B2B" w:rsidRDefault="00492B2B" w:rsidP="00994DC8">
      <w:pPr>
        <w:spacing w:after="0" w:line="240" w:lineRule="auto"/>
        <w:rPr>
          <w:lang w:val="en"/>
        </w:rPr>
      </w:pPr>
      <w:r>
        <w:rPr>
          <w:lang w:val="en"/>
        </w:rPr>
        <w:t>Projects that require land for implementation can cause the mandatory displacement of people who reside or work there. These projects include infrastructure, urban renewal, extractive, environmental protection or recovery, disaster risk reduction and reconstruction after these have occurred.</w:t>
      </w:r>
    </w:p>
    <w:p w14:paraId="6EADE9B8" w14:textId="77777777" w:rsidR="00994DC8" w:rsidRDefault="00994DC8" w:rsidP="00994DC8">
      <w:pPr>
        <w:spacing w:after="0" w:line="240" w:lineRule="auto"/>
        <w:rPr>
          <w:lang w:val="en"/>
        </w:rPr>
      </w:pPr>
    </w:p>
    <w:p w14:paraId="765A3340" w14:textId="77777777" w:rsidR="00492B2B" w:rsidRDefault="00492B2B" w:rsidP="00994DC8">
      <w:pPr>
        <w:spacing w:after="0" w:line="240" w:lineRule="auto"/>
        <w:rPr>
          <w:lang w:val="en"/>
        </w:rPr>
      </w:pPr>
      <w:r>
        <w:rPr>
          <w:lang w:val="en"/>
        </w:rPr>
        <w:t xml:space="preserve">Except for the last two types of projects, in which displacement is carried out for the benefit of the displaced population, in the others it is carried out as a precondition for the implementation of the project. </w:t>
      </w:r>
    </w:p>
    <w:p w14:paraId="20E43979" w14:textId="77777777" w:rsidR="00994DC8" w:rsidRDefault="00994DC8" w:rsidP="00994DC8">
      <w:pPr>
        <w:spacing w:after="0" w:line="240" w:lineRule="auto"/>
        <w:rPr>
          <w:lang w:val="en"/>
        </w:rPr>
      </w:pPr>
    </w:p>
    <w:p w14:paraId="7D6D19CE" w14:textId="3A515185" w:rsidR="00492B2B" w:rsidRDefault="00492B2B" w:rsidP="00994DC8">
      <w:pPr>
        <w:spacing w:after="0" w:line="240" w:lineRule="auto"/>
        <w:rPr>
          <w:lang w:val="en"/>
        </w:rPr>
      </w:pPr>
      <w:r>
        <w:rPr>
          <w:lang w:val="en"/>
        </w:rPr>
        <w:t xml:space="preserve">In some cases, only a piece of land is partially </w:t>
      </w:r>
      <w:r w:rsidR="00994DC8">
        <w:rPr>
          <w:lang w:val="en"/>
        </w:rPr>
        <w:t>affected,</w:t>
      </w:r>
      <w:r>
        <w:rPr>
          <w:lang w:val="en"/>
        </w:rPr>
        <w:t xml:space="preserve"> and people can reconstruct the elements that were in it, </w:t>
      </w:r>
      <w:proofErr w:type="gramStart"/>
      <w:r>
        <w:rPr>
          <w:lang w:val="en"/>
        </w:rPr>
        <w:t>as long as</w:t>
      </w:r>
      <w:proofErr w:type="gramEnd"/>
      <w:r>
        <w:rPr>
          <w:lang w:val="en"/>
        </w:rPr>
        <w:t xml:space="preserve"> the remaining area is viable; but when a property is totally required, or the remainder is unviable, the people or economic activities carried out in it must be forcibly displaced.</w:t>
      </w:r>
    </w:p>
    <w:p w14:paraId="60FDF874" w14:textId="77777777" w:rsidR="00994DC8" w:rsidRDefault="00994DC8" w:rsidP="00994DC8">
      <w:pPr>
        <w:spacing w:after="0" w:line="240" w:lineRule="auto"/>
        <w:rPr>
          <w:lang w:val="en"/>
        </w:rPr>
      </w:pPr>
    </w:p>
    <w:p w14:paraId="5D83E1E7" w14:textId="6E7D8902" w:rsidR="00492B2B" w:rsidRDefault="00492B2B" w:rsidP="00994DC8">
      <w:pPr>
        <w:spacing w:after="0" w:line="240" w:lineRule="auto"/>
        <w:rPr>
          <w:lang w:val="en"/>
        </w:rPr>
      </w:pPr>
      <w:r>
        <w:rPr>
          <w:lang w:val="en"/>
        </w:rPr>
        <w:t>The compulsory displacement of the population is one of the most severe negative socio-economic impacts that development projects can generate, since if appropriate measures are not taken, displaced people can lose their wealth and livelihoods, and plunge into poverty. The mandatory displacement of population does not only affect the people who move, but also the neighbors who continue to live in the place, the receiving population of the deferred group and the territorial units where both things happen. Global experience has shown that financial compensation alone is not enough to enable people to rebuild their lives and restore their pre-displacement socio-economic conditions. Therefore, it is the responsibility of any organization or entity that develops a project or activity that causes mandatory displacement, to resettle people, eliminate the risk of impoverishment of the displaced and avoid deterioration in the quality of life of the people who will continue to live in the place, as well as of the receiving population.</w:t>
      </w:r>
    </w:p>
    <w:p w14:paraId="15932E3B" w14:textId="77777777" w:rsidR="00994DC8" w:rsidRDefault="00994DC8" w:rsidP="00994DC8">
      <w:pPr>
        <w:spacing w:after="0" w:line="240" w:lineRule="auto"/>
        <w:rPr>
          <w:lang w:val="en"/>
        </w:rPr>
      </w:pPr>
    </w:p>
    <w:p w14:paraId="277E54AE" w14:textId="77777777" w:rsidR="00492B2B" w:rsidRDefault="00492B2B" w:rsidP="00994DC8">
      <w:pPr>
        <w:spacing w:after="0" w:line="240" w:lineRule="auto"/>
        <w:rPr>
          <w:b/>
          <w:bCs/>
          <w:lang w:val="en"/>
        </w:rPr>
      </w:pPr>
      <w:r w:rsidRPr="0094089F">
        <w:rPr>
          <w:b/>
          <w:bCs/>
          <w:lang w:val="en"/>
        </w:rPr>
        <w:t>Objectives:</w:t>
      </w:r>
    </w:p>
    <w:p w14:paraId="6FAC6824" w14:textId="77777777" w:rsidR="00994DC8" w:rsidRPr="0094089F" w:rsidRDefault="00994DC8" w:rsidP="00994DC8">
      <w:pPr>
        <w:spacing w:after="0" w:line="240" w:lineRule="auto"/>
        <w:rPr>
          <w:b/>
          <w:bCs/>
          <w:lang w:val="en"/>
        </w:rPr>
      </w:pPr>
    </w:p>
    <w:p w14:paraId="3483510E" w14:textId="77777777" w:rsidR="00492B2B" w:rsidRPr="0094089F" w:rsidRDefault="00492B2B" w:rsidP="00994DC8">
      <w:pPr>
        <w:pStyle w:val="Prrafodelista"/>
        <w:numPr>
          <w:ilvl w:val="0"/>
          <w:numId w:val="81"/>
        </w:numPr>
        <w:spacing w:after="0" w:line="240" w:lineRule="auto"/>
        <w:rPr>
          <w:lang w:val="en"/>
        </w:rPr>
      </w:pPr>
      <w:r w:rsidRPr="0094089F">
        <w:rPr>
          <w:lang w:val="en"/>
        </w:rPr>
        <w:t xml:space="preserve">To resettle the displaced population to improve, or at least restore, in a sustainable manner, the socio-economic conditions and living standards they had before displacement, regardless of the type of land tenure. </w:t>
      </w:r>
    </w:p>
    <w:p w14:paraId="2CC9689E" w14:textId="77777777" w:rsidR="00492B2B" w:rsidRPr="0094089F" w:rsidRDefault="00492B2B" w:rsidP="00994DC8">
      <w:pPr>
        <w:pStyle w:val="Prrafodelista"/>
        <w:numPr>
          <w:ilvl w:val="0"/>
          <w:numId w:val="81"/>
        </w:numPr>
        <w:spacing w:after="0" w:line="240" w:lineRule="auto"/>
        <w:rPr>
          <w:lang w:val="en"/>
        </w:rPr>
      </w:pPr>
      <w:r w:rsidRPr="0094089F">
        <w:rPr>
          <w:lang w:val="en"/>
        </w:rPr>
        <w:t xml:space="preserve">Provide sustainable and inclusive alternatives to resettlement that respond to the differential characteristics of the people who must be displaced. </w:t>
      </w:r>
    </w:p>
    <w:p w14:paraId="45BF49C5" w14:textId="73A8F8B4" w:rsidR="00492B2B" w:rsidRPr="0094089F" w:rsidRDefault="00492B2B" w:rsidP="00994DC8">
      <w:pPr>
        <w:pStyle w:val="Prrafodelista"/>
        <w:numPr>
          <w:ilvl w:val="0"/>
          <w:numId w:val="81"/>
        </w:numPr>
        <w:spacing w:after="0" w:line="240" w:lineRule="auto"/>
        <w:rPr>
          <w:lang w:val="en"/>
        </w:rPr>
      </w:pPr>
      <w:r w:rsidRPr="0094089F">
        <w:rPr>
          <w:lang w:val="en"/>
        </w:rPr>
        <w:t xml:space="preserve">Prevent, mitigate, and compensate for the negative impacts. </w:t>
      </w:r>
    </w:p>
    <w:p w14:paraId="567DD246" w14:textId="77777777" w:rsidR="00492B2B" w:rsidRPr="0094089F" w:rsidRDefault="00492B2B" w:rsidP="00994DC8">
      <w:pPr>
        <w:pStyle w:val="Prrafodelista"/>
        <w:numPr>
          <w:ilvl w:val="0"/>
          <w:numId w:val="81"/>
        </w:numPr>
        <w:spacing w:after="0" w:line="240" w:lineRule="auto"/>
        <w:rPr>
          <w:lang w:val="en-US"/>
        </w:rPr>
      </w:pPr>
      <w:r w:rsidRPr="0094089F">
        <w:rPr>
          <w:lang w:val="en"/>
        </w:rPr>
        <w:t>Integrate the resettled population with the recipient.</w:t>
      </w:r>
    </w:p>
    <w:p w14:paraId="12FDBA0C" w14:textId="77777777" w:rsidR="00994DC8" w:rsidRDefault="00994DC8" w:rsidP="00994DC8">
      <w:pPr>
        <w:spacing w:after="0" w:line="240" w:lineRule="auto"/>
        <w:rPr>
          <w:b/>
          <w:bCs/>
          <w:lang w:val="en-US"/>
        </w:rPr>
      </w:pPr>
    </w:p>
    <w:p w14:paraId="33F89AC0" w14:textId="4A6154C4" w:rsidR="00492B2B" w:rsidRPr="0094089F" w:rsidRDefault="00492B2B" w:rsidP="00994DC8">
      <w:pPr>
        <w:spacing w:after="0" w:line="240" w:lineRule="auto"/>
        <w:rPr>
          <w:b/>
          <w:bCs/>
          <w:lang w:val="en-US"/>
        </w:rPr>
      </w:pPr>
      <w:r w:rsidRPr="0094089F">
        <w:rPr>
          <w:b/>
          <w:bCs/>
          <w:lang w:val="en-US"/>
        </w:rPr>
        <w:t>Scope:</w:t>
      </w:r>
    </w:p>
    <w:p w14:paraId="5E496AEB" w14:textId="77777777" w:rsidR="00994DC8" w:rsidRDefault="00994DC8" w:rsidP="00994DC8">
      <w:pPr>
        <w:spacing w:after="0" w:line="240" w:lineRule="auto"/>
        <w:rPr>
          <w:lang w:val="en-US"/>
        </w:rPr>
      </w:pPr>
    </w:p>
    <w:p w14:paraId="635590FD" w14:textId="40F6FCB4" w:rsidR="00492B2B" w:rsidRDefault="00492B2B" w:rsidP="00994DC8">
      <w:pPr>
        <w:spacing w:after="0" w:line="240" w:lineRule="auto"/>
        <w:rPr>
          <w:lang w:val="en-US"/>
        </w:rPr>
      </w:pPr>
      <w:r>
        <w:rPr>
          <w:lang w:val="en-US"/>
        </w:rPr>
        <w:t>CAF</w:t>
      </w:r>
      <w:r w:rsidRPr="0094089F">
        <w:rPr>
          <w:lang w:val="en-US"/>
        </w:rPr>
        <w:t xml:space="preserve"> requires a resettlement action plan (RAP) for any project that results in either the physical or the economic displacement of people.</w:t>
      </w:r>
    </w:p>
    <w:p w14:paraId="1AD38DE3" w14:textId="77777777" w:rsidR="00994DC8" w:rsidRDefault="00994DC8" w:rsidP="00994DC8">
      <w:pPr>
        <w:spacing w:after="0" w:line="240" w:lineRule="auto"/>
        <w:rPr>
          <w:lang w:val="en-US"/>
        </w:rPr>
      </w:pPr>
    </w:p>
    <w:p w14:paraId="64A8208F" w14:textId="2AD725D8" w:rsidR="00492B2B" w:rsidRDefault="00492B2B" w:rsidP="00994DC8">
      <w:pPr>
        <w:spacing w:after="0" w:line="240" w:lineRule="auto"/>
        <w:rPr>
          <w:lang w:val="en-US"/>
        </w:rPr>
      </w:pPr>
      <w:r w:rsidRPr="0094089F">
        <w:rPr>
          <w:lang w:val="en-US"/>
        </w:rPr>
        <w:t>The scope and level of detail of resettlement planning will vary with circumstances, depending on the project’s complexity and the magnitude of its effects. As a minimum requirement, a RAP must ensure that the livelihoods of people affected by the project are restored to levels prevailing before inception of the project. However, simple restoration of livelihood may be insufficient to protect affected populations from adverse project impacts, especially induced effects such as competition for resources and employment, inflation, and the breakdown of social support networks.</w:t>
      </w:r>
    </w:p>
    <w:p w14:paraId="366F086E" w14:textId="77777777" w:rsidR="00994DC8" w:rsidRDefault="00994DC8" w:rsidP="00994DC8">
      <w:pPr>
        <w:spacing w:after="0" w:line="240" w:lineRule="auto"/>
        <w:rPr>
          <w:lang w:val="en-US"/>
        </w:rPr>
      </w:pPr>
    </w:p>
    <w:p w14:paraId="20F6084F" w14:textId="77777777" w:rsidR="00492B2B" w:rsidRDefault="00492B2B" w:rsidP="00994DC8">
      <w:pPr>
        <w:spacing w:after="0" w:line="240" w:lineRule="auto"/>
        <w:rPr>
          <w:lang w:val="en-US"/>
        </w:rPr>
      </w:pPr>
      <w:r w:rsidRPr="0094089F">
        <w:rPr>
          <w:lang w:val="en-US"/>
        </w:rPr>
        <w:t xml:space="preserve">For this reason, </w:t>
      </w:r>
      <w:r>
        <w:rPr>
          <w:lang w:val="en-US"/>
        </w:rPr>
        <w:t>CAF</w:t>
      </w:r>
      <w:r w:rsidRPr="0094089F">
        <w:rPr>
          <w:lang w:val="en-US"/>
        </w:rPr>
        <w:t xml:space="preserve"> seeks to promote the improvement of the living standards of people affected by the project. Thus, resettlement activities should result in measurable improvements in the economic conditions and social well-being of affected people and communities.</w:t>
      </w:r>
    </w:p>
    <w:p w14:paraId="7CA95D19" w14:textId="77777777" w:rsidR="00994DC8" w:rsidRDefault="00994DC8" w:rsidP="00994DC8">
      <w:pPr>
        <w:spacing w:after="0" w:line="240" w:lineRule="auto"/>
        <w:rPr>
          <w:lang w:val="en-US"/>
        </w:rPr>
      </w:pPr>
    </w:p>
    <w:p w14:paraId="19A989EE" w14:textId="5CA33807" w:rsidR="00492B2B" w:rsidRDefault="00492B2B" w:rsidP="00994DC8">
      <w:pPr>
        <w:spacing w:after="0" w:line="240" w:lineRule="auto"/>
        <w:rPr>
          <w:lang w:val="en-US"/>
        </w:rPr>
      </w:pPr>
      <w:r w:rsidRPr="0094089F">
        <w:rPr>
          <w:lang w:val="en-US"/>
        </w:rPr>
        <w:t>The essential components of a RAP are the following:</w:t>
      </w:r>
    </w:p>
    <w:p w14:paraId="3BA878FE" w14:textId="77777777" w:rsidR="00994DC8" w:rsidRDefault="00994DC8" w:rsidP="00994DC8">
      <w:pPr>
        <w:spacing w:after="0" w:line="240" w:lineRule="auto"/>
        <w:rPr>
          <w:lang w:val="en-US"/>
        </w:rPr>
      </w:pPr>
    </w:p>
    <w:p w14:paraId="181D3107"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identification of project impacts and affected </w:t>
      </w:r>
      <w:proofErr w:type="gramStart"/>
      <w:r w:rsidRPr="0094089F">
        <w:rPr>
          <w:lang w:val="en-US"/>
        </w:rPr>
        <w:t>populations;</w:t>
      </w:r>
      <w:proofErr w:type="gramEnd"/>
    </w:p>
    <w:p w14:paraId="32EE8A8C"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legal framework for land acquisition and </w:t>
      </w:r>
      <w:proofErr w:type="gramStart"/>
      <w:r w:rsidRPr="0094089F">
        <w:rPr>
          <w:lang w:val="en-US"/>
        </w:rPr>
        <w:t>compensation;</w:t>
      </w:r>
      <w:proofErr w:type="gramEnd"/>
    </w:p>
    <w:p w14:paraId="0445EEC3"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compensation </w:t>
      </w:r>
      <w:proofErr w:type="gramStart"/>
      <w:r w:rsidRPr="0094089F">
        <w:rPr>
          <w:lang w:val="en-US"/>
        </w:rPr>
        <w:t>framework;</w:t>
      </w:r>
      <w:proofErr w:type="gramEnd"/>
    </w:p>
    <w:p w14:paraId="09E55069"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description of resettlement assistance and restoration of livelihood </w:t>
      </w:r>
      <w:proofErr w:type="gramStart"/>
      <w:r w:rsidRPr="0094089F">
        <w:rPr>
          <w:lang w:val="en-US"/>
        </w:rPr>
        <w:t>activities;</w:t>
      </w:r>
      <w:proofErr w:type="gramEnd"/>
    </w:p>
    <w:p w14:paraId="3D4A8E02"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detailed </w:t>
      </w:r>
      <w:proofErr w:type="gramStart"/>
      <w:r w:rsidRPr="0094089F">
        <w:rPr>
          <w:lang w:val="en-US"/>
        </w:rPr>
        <w:t>budget;</w:t>
      </w:r>
      <w:proofErr w:type="gramEnd"/>
    </w:p>
    <w:p w14:paraId="7036AF9A"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an implementation </w:t>
      </w:r>
      <w:proofErr w:type="gramStart"/>
      <w:r w:rsidRPr="0094089F">
        <w:rPr>
          <w:lang w:val="en-US"/>
        </w:rPr>
        <w:t>schedule;</w:t>
      </w:r>
      <w:proofErr w:type="gramEnd"/>
    </w:p>
    <w:p w14:paraId="7CFB8EB8"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description of organizational </w:t>
      </w:r>
      <w:proofErr w:type="gramStart"/>
      <w:r w:rsidRPr="0094089F">
        <w:rPr>
          <w:lang w:val="en-US"/>
        </w:rPr>
        <w:t>responsibilities;</w:t>
      </w:r>
      <w:proofErr w:type="gramEnd"/>
    </w:p>
    <w:p w14:paraId="599F18B6"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 xml:space="preserve">a framework for public consultation, participation, and development </w:t>
      </w:r>
      <w:proofErr w:type="gramStart"/>
      <w:r w:rsidRPr="0094089F">
        <w:rPr>
          <w:lang w:val="en-US"/>
        </w:rPr>
        <w:t>planning;</w:t>
      </w:r>
      <w:proofErr w:type="gramEnd"/>
    </w:p>
    <w:p w14:paraId="4783DF4D"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a description of provisions for redress of grievances; and</w:t>
      </w:r>
    </w:p>
    <w:p w14:paraId="291A5701" w14:textId="77777777" w:rsidR="00492B2B" w:rsidRPr="0094089F" w:rsidRDefault="00492B2B" w:rsidP="00994DC8">
      <w:pPr>
        <w:pStyle w:val="Prrafodelista"/>
        <w:numPr>
          <w:ilvl w:val="0"/>
          <w:numId w:val="80"/>
        </w:numPr>
        <w:spacing w:after="0" w:line="240" w:lineRule="auto"/>
        <w:jc w:val="left"/>
        <w:rPr>
          <w:lang w:val="en-US"/>
        </w:rPr>
      </w:pPr>
      <w:r w:rsidRPr="0094089F">
        <w:rPr>
          <w:lang w:val="en-US"/>
        </w:rPr>
        <w:t>a framework for monitoring, evaluation, and reporting.</w:t>
      </w:r>
    </w:p>
    <w:p w14:paraId="764C7AC9" w14:textId="77777777" w:rsidR="00492B2B" w:rsidRPr="00994DC8" w:rsidRDefault="00492B2B" w:rsidP="00994DC8">
      <w:pPr>
        <w:spacing w:after="0" w:line="240" w:lineRule="auto"/>
        <w:jc w:val="left"/>
        <w:rPr>
          <w:lang w:val="en-US"/>
        </w:rPr>
      </w:pPr>
    </w:p>
    <w:sectPr w:rsidR="00492B2B" w:rsidRPr="00994DC8" w:rsidSect="00C6428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391F" w14:textId="77777777" w:rsidR="00203008" w:rsidRDefault="00203008" w:rsidP="009C7869">
      <w:pPr>
        <w:spacing w:after="0" w:line="240" w:lineRule="auto"/>
      </w:pPr>
      <w:r>
        <w:separator/>
      </w:r>
    </w:p>
  </w:endnote>
  <w:endnote w:type="continuationSeparator" w:id="0">
    <w:p w14:paraId="51A154A6" w14:textId="77777777" w:rsidR="00203008" w:rsidRDefault="00203008" w:rsidP="009C7869">
      <w:pPr>
        <w:spacing w:after="0" w:line="240" w:lineRule="auto"/>
      </w:pPr>
      <w:r>
        <w:continuationSeparator/>
      </w:r>
    </w:p>
  </w:endnote>
  <w:endnote w:type="continuationNotice" w:id="1">
    <w:p w14:paraId="739E3A3E" w14:textId="77777777" w:rsidR="00203008" w:rsidRDefault="00203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3566" w14:textId="77777777" w:rsidR="00102605" w:rsidRDefault="00102605" w:rsidP="00CF0F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3F245ED" w14:textId="77777777" w:rsidR="00102605" w:rsidRDefault="00102605" w:rsidP="00CF0F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8446938"/>
      <w:docPartObj>
        <w:docPartGallery w:val="Page Numbers (Bottom of Page)"/>
        <w:docPartUnique/>
      </w:docPartObj>
    </w:sdtPr>
    <w:sdtEndPr>
      <w:rPr>
        <w:rStyle w:val="Nmerodepgina"/>
      </w:rPr>
    </w:sdtEndPr>
    <w:sdtContent>
      <w:p w14:paraId="35BA9869" w14:textId="77777777" w:rsidR="00102605" w:rsidRDefault="00102605" w:rsidP="00CF0F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20</w:t>
        </w:r>
        <w:r>
          <w:rPr>
            <w:rStyle w:val="Nmerodepgina"/>
          </w:rPr>
          <w:fldChar w:fldCharType="end"/>
        </w:r>
      </w:p>
    </w:sdtContent>
  </w:sdt>
  <w:p w14:paraId="5275C5F7" w14:textId="77777777" w:rsidR="00102605" w:rsidRDefault="00102605" w:rsidP="00CF0F0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0BA2" w14:textId="77777777" w:rsidR="00A63D46" w:rsidRDefault="00A63D4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563" w14:textId="77777777" w:rsidR="006C1AF6" w:rsidRDefault="006C1AF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BCB3" w14:textId="77777777" w:rsidR="006C1AF6" w:rsidRDefault="006C1AF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3F20" w14:textId="77777777" w:rsidR="006C1AF6" w:rsidRDefault="006C1AF6">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D89C" w14:textId="77777777" w:rsidR="002B4C2F" w:rsidRDefault="002B4C2F">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6C2" w14:textId="77777777" w:rsidR="002B4C2F" w:rsidRDefault="002B4C2F">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E601" w14:textId="77777777" w:rsidR="002B4C2F" w:rsidRDefault="002B4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96FF" w14:textId="77777777" w:rsidR="00203008" w:rsidRDefault="00203008" w:rsidP="009C7869">
      <w:pPr>
        <w:spacing w:after="0" w:line="240" w:lineRule="auto"/>
      </w:pPr>
      <w:r>
        <w:separator/>
      </w:r>
    </w:p>
  </w:footnote>
  <w:footnote w:type="continuationSeparator" w:id="0">
    <w:p w14:paraId="0E691071" w14:textId="77777777" w:rsidR="00203008" w:rsidRDefault="00203008" w:rsidP="009C7869">
      <w:pPr>
        <w:spacing w:after="0" w:line="240" w:lineRule="auto"/>
      </w:pPr>
      <w:r>
        <w:continuationSeparator/>
      </w:r>
    </w:p>
  </w:footnote>
  <w:footnote w:type="continuationNotice" w:id="1">
    <w:p w14:paraId="2AF6C576" w14:textId="77777777" w:rsidR="00203008" w:rsidRDefault="00203008">
      <w:pPr>
        <w:spacing w:after="0" w:line="240" w:lineRule="auto"/>
      </w:pPr>
    </w:p>
  </w:footnote>
  <w:footnote w:id="2">
    <w:p w14:paraId="7A5FADB0" w14:textId="36F9A332" w:rsidR="007A2D94" w:rsidRPr="003359E4" w:rsidRDefault="007A2D94">
      <w:pPr>
        <w:pStyle w:val="Textonotapie"/>
        <w:rPr>
          <w:sz w:val="18"/>
          <w:szCs w:val="18"/>
        </w:rPr>
      </w:pPr>
      <w:r w:rsidRPr="003359E4">
        <w:rPr>
          <w:rStyle w:val="Refdenotaalpie"/>
          <w:sz w:val="18"/>
          <w:szCs w:val="18"/>
        </w:rPr>
        <w:footnoteRef/>
      </w:r>
      <w:r w:rsidRPr="003359E4">
        <w:rPr>
          <w:sz w:val="18"/>
          <w:szCs w:val="18"/>
        </w:rPr>
        <w:t xml:space="preserve"> </w:t>
      </w:r>
      <w:r w:rsidR="003359E4" w:rsidRPr="003359E4">
        <w:rPr>
          <w:color w:val="000000" w:themeColor="text1"/>
          <w:sz w:val="18"/>
          <w:szCs w:val="18"/>
          <w:lang w:eastAsia="ja-JP"/>
        </w:rPr>
        <w:t>E</w:t>
      </w:r>
      <w:r w:rsidR="006202AD">
        <w:rPr>
          <w:color w:val="000000" w:themeColor="text1"/>
          <w:sz w:val="18"/>
          <w:szCs w:val="18"/>
          <w:lang w:eastAsia="ja-JP"/>
        </w:rPr>
        <w:t xml:space="preserve">-motion </w:t>
      </w:r>
      <w:r w:rsidR="003359E4" w:rsidRPr="003359E4">
        <w:rPr>
          <w:color w:val="000000" w:themeColor="text1"/>
          <w:sz w:val="18"/>
          <w:szCs w:val="18"/>
          <w:lang w:eastAsia="ja-JP"/>
        </w:rPr>
        <w:t>does not promote earlier replacement or scrapping of vehicles. Scrapping Programs in any case have limited merits as for example in the case of buses old municipal buses could still be used to replace even older rural or private transport buses with low mileage.</w:t>
      </w:r>
    </w:p>
  </w:footnote>
  <w:footnote w:id="3">
    <w:p w14:paraId="304EA3E4" w14:textId="7DB342F6" w:rsidR="002860C5" w:rsidRPr="002860C5" w:rsidRDefault="002860C5">
      <w:pPr>
        <w:pStyle w:val="Textonotapie"/>
      </w:pPr>
      <w:r w:rsidRPr="00A1470F">
        <w:rPr>
          <w:rStyle w:val="Refdenotaalpie"/>
          <w:sz w:val="18"/>
          <w:szCs w:val="18"/>
        </w:rPr>
        <w:footnoteRef/>
      </w:r>
      <w:r w:rsidRPr="00A1470F">
        <w:rPr>
          <w:sz w:val="18"/>
          <w:szCs w:val="18"/>
        </w:rPr>
        <w:t xml:space="preserve"> CAF will contra</w:t>
      </w:r>
      <w:r w:rsidR="002963C2" w:rsidRPr="00A1470F">
        <w:rPr>
          <w:sz w:val="18"/>
          <w:szCs w:val="18"/>
        </w:rPr>
        <w:t>ct</w:t>
      </w:r>
      <w:r w:rsidR="000956E0" w:rsidRPr="00A1470F">
        <w:rPr>
          <w:sz w:val="18"/>
          <w:szCs w:val="18"/>
        </w:rPr>
        <w:t>u</w:t>
      </w:r>
      <w:r w:rsidR="002963C2" w:rsidRPr="00A1470F">
        <w:rPr>
          <w:sz w:val="18"/>
          <w:szCs w:val="18"/>
        </w:rPr>
        <w:t>a</w:t>
      </w:r>
      <w:r w:rsidR="000956E0" w:rsidRPr="00A1470F">
        <w:rPr>
          <w:sz w:val="18"/>
          <w:szCs w:val="18"/>
        </w:rPr>
        <w:t xml:space="preserve">lly </w:t>
      </w:r>
      <w:r w:rsidR="002963C2" w:rsidRPr="00A1470F">
        <w:rPr>
          <w:sz w:val="18"/>
          <w:szCs w:val="18"/>
        </w:rPr>
        <w:t>require</w:t>
      </w:r>
      <w:r w:rsidR="000956E0" w:rsidRPr="00A1470F">
        <w:rPr>
          <w:sz w:val="18"/>
          <w:szCs w:val="18"/>
        </w:rPr>
        <w:t xml:space="preserve"> to financial intermediaries to </w:t>
      </w:r>
      <w:r w:rsidR="002963C2" w:rsidRPr="00A1470F">
        <w:rPr>
          <w:sz w:val="18"/>
          <w:szCs w:val="18"/>
        </w:rPr>
        <w:t xml:space="preserve">comply with CAF´s and GCF’s E&amp;S </w:t>
      </w:r>
      <w:r w:rsidR="00D62188" w:rsidRPr="00A1470F">
        <w:rPr>
          <w:sz w:val="18"/>
          <w:szCs w:val="18"/>
        </w:rPr>
        <w:t>Safeguards and</w:t>
      </w:r>
      <w:r w:rsidR="00066AB0" w:rsidRPr="00A1470F">
        <w:rPr>
          <w:sz w:val="18"/>
          <w:szCs w:val="18"/>
        </w:rPr>
        <w:t xml:space="preserve"> </w:t>
      </w:r>
      <w:r w:rsidR="00A05846" w:rsidRPr="00A1470F">
        <w:rPr>
          <w:sz w:val="18"/>
          <w:szCs w:val="18"/>
        </w:rPr>
        <w:t xml:space="preserve">follow CAF’s internal </w:t>
      </w:r>
      <w:r w:rsidR="00402727" w:rsidRPr="00A1470F">
        <w:rPr>
          <w:sz w:val="18"/>
          <w:szCs w:val="18"/>
        </w:rPr>
        <w:t>policies and procedures.</w:t>
      </w:r>
      <w:r w:rsidR="001A2D6E" w:rsidRPr="00A1470F">
        <w:rPr>
          <w:sz w:val="18"/>
          <w:szCs w:val="18"/>
        </w:rPr>
        <w:t xml:space="preserve"> </w:t>
      </w:r>
      <w:r w:rsidR="00E06A04" w:rsidRPr="00A1470F">
        <w:rPr>
          <w:sz w:val="18"/>
          <w:szCs w:val="18"/>
        </w:rPr>
        <w:t xml:space="preserve">CAF will oversight periodically the condition </w:t>
      </w:r>
      <w:r w:rsidR="009030F2" w:rsidRPr="00A1470F">
        <w:rPr>
          <w:sz w:val="18"/>
          <w:szCs w:val="18"/>
        </w:rPr>
        <w:t xml:space="preserve">and </w:t>
      </w:r>
      <w:r w:rsidR="00E06A04" w:rsidRPr="00A1470F">
        <w:rPr>
          <w:sz w:val="18"/>
          <w:szCs w:val="18"/>
        </w:rPr>
        <w:t xml:space="preserve">as per the loan agreement will have the ability to reject a sub-loan. </w:t>
      </w:r>
    </w:p>
  </w:footnote>
  <w:footnote w:id="4">
    <w:p w14:paraId="7F8812F0" w14:textId="7B36D5EA" w:rsidR="005C5500" w:rsidRPr="00C54BB4" w:rsidRDefault="005C5500">
      <w:pPr>
        <w:pStyle w:val="Textonotapie"/>
        <w:rPr>
          <w:sz w:val="18"/>
          <w:szCs w:val="18"/>
        </w:rPr>
      </w:pPr>
      <w:r w:rsidRPr="00C54BB4">
        <w:rPr>
          <w:rStyle w:val="Refdenotaalpie"/>
          <w:sz w:val="18"/>
          <w:szCs w:val="18"/>
        </w:rPr>
        <w:footnoteRef/>
      </w:r>
      <w:r w:rsidRPr="00C54BB4">
        <w:rPr>
          <w:sz w:val="18"/>
          <w:szCs w:val="18"/>
        </w:rPr>
        <w:t xml:space="preserve"> </w:t>
      </w:r>
      <w:r w:rsidRPr="000B7DAE">
        <w:rPr>
          <w:color w:val="000000" w:themeColor="text1"/>
          <w:sz w:val="18"/>
          <w:szCs w:val="18"/>
          <w:lang w:eastAsia="ja-JP"/>
        </w:rPr>
        <w:t xml:space="preserve">E-motion </w:t>
      </w:r>
      <w:r w:rsidRPr="00AC3D56">
        <w:rPr>
          <w:color w:val="000000" w:themeColor="text1"/>
          <w:sz w:val="18"/>
          <w:szCs w:val="18"/>
          <w:lang w:eastAsia="ja-JP"/>
        </w:rPr>
        <w:t xml:space="preserve">does not promote earlier replacement or scrapping of vehicles. Scrapping Programs in any case have limited merits as for example in the case of buses old </w:t>
      </w:r>
      <w:r w:rsidRPr="00C54BB4">
        <w:rPr>
          <w:color w:val="000000" w:themeColor="text1"/>
          <w:sz w:val="18"/>
          <w:szCs w:val="18"/>
          <w:lang w:eastAsia="ja-JP"/>
        </w:rPr>
        <w:t>municipal buses could still be used to replace even older rural or private transport buses with low mileage.</w:t>
      </w:r>
    </w:p>
  </w:footnote>
  <w:footnote w:id="5">
    <w:p w14:paraId="78027BDF" w14:textId="020ABA06" w:rsidR="001D434F" w:rsidRPr="001D434F" w:rsidRDefault="001D434F">
      <w:pPr>
        <w:pStyle w:val="Textonotapie"/>
      </w:pPr>
      <w:r>
        <w:rPr>
          <w:rStyle w:val="Refdenotaalpie"/>
        </w:rPr>
        <w:footnoteRef/>
      </w:r>
      <w:r>
        <w:t xml:space="preserve"> The e-bus specific charging stations </w:t>
      </w:r>
      <w:r w:rsidR="005C3EB1">
        <w:t xml:space="preserve">and bus depots </w:t>
      </w:r>
      <w:r>
        <w:t xml:space="preserve">are financed </w:t>
      </w:r>
      <w:r w:rsidR="005C3EB1">
        <w:t>under component 2.</w:t>
      </w:r>
    </w:p>
  </w:footnote>
  <w:footnote w:id="6">
    <w:p w14:paraId="7206CBC5" w14:textId="77777777" w:rsidR="00102605" w:rsidRPr="006919C4" w:rsidRDefault="00102605" w:rsidP="009A3546">
      <w:pPr>
        <w:pStyle w:val="Textonotapie"/>
        <w:rPr>
          <w:szCs w:val="18"/>
        </w:rPr>
      </w:pPr>
      <w:r w:rsidRPr="00953A91">
        <w:rPr>
          <w:rStyle w:val="Refdenotaalpie"/>
          <w:sz w:val="18"/>
          <w:szCs w:val="16"/>
        </w:rPr>
        <w:footnoteRef/>
      </w:r>
      <w:r w:rsidRPr="00953A91">
        <w:rPr>
          <w:sz w:val="18"/>
          <w:szCs w:val="16"/>
        </w:rPr>
        <w:t xml:space="preserve"> </w:t>
      </w:r>
      <w:r w:rsidRPr="00953A91">
        <w:rPr>
          <w:sz w:val="18"/>
          <w:szCs w:val="16"/>
          <w:lang w:val="en-US"/>
        </w:rPr>
        <w:t>Hybrid trolleybuses</w:t>
      </w:r>
      <w:r w:rsidRPr="00953A91">
        <w:rPr>
          <w:sz w:val="18"/>
          <w:szCs w:val="16"/>
        </w:rPr>
        <w:t xml:space="preserve"> (trolleybuses with battery)</w:t>
      </w:r>
      <w:r w:rsidRPr="00953A91">
        <w:rPr>
          <w:sz w:val="18"/>
          <w:szCs w:val="16"/>
          <w:lang w:val="en-US"/>
        </w:rPr>
        <w:t xml:space="preserve"> can also be financed if they proof to be a more cost-efficient option than usage of battery-electric buses </w:t>
      </w:r>
      <w:proofErr w:type="gramStart"/>
      <w:r w:rsidRPr="00953A91">
        <w:rPr>
          <w:sz w:val="18"/>
          <w:szCs w:val="16"/>
          <w:lang w:val="en-US"/>
        </w:rPr>
        <w:t>considering also</w:t>
      </w:r>
      <w:proofErr w:type="gramEnd"/>
      <w:r w:rsidRPr="00953A91">
        <w:rPr>
          <w:sz w:val="18"/>
          <w:szCs w:val="16"/>
          <w:lang w:val="en-US"/>
        </w:rPr>
        <w:t xml:space="preserve"> infrastructure replacement and maintenance costs</w:t>
      </w:r>
      <w:r w:rsidRPr="00953A91">
        <w:rPr>
          <w:sz w:val="18"/>
          <w:szCs w:val="16"/>
        </w:rPr>
        <w:t>.</w:t>
      </w:r>
    </w:p>
  </w:footnote>
  <w:footnote w:id="7">
    <w:p w14:paraId="6C646341" w14:textId="55FEC661" w:rsidR="00E86BAF" w:rsidRPr="00F54C88" w:rsidRDefault="00BE4377" w:rsidP="00E86BAF">
      <w:pPr>
        <w:pStyle w:val="Textonotapie"/>
        <w:rPr>
          <w:sz w:val="18"/>
          <w:szCs w:val="18"/>
        </w:rPr>
      </w:pPr>
      <w:r w:rsidRPr="00F54C88">
        <w:rPr>
          <w:rStyle w:val="Refdenotaalpie"/>
          <w:sz w:val="18"/>
          <w:szCs w:val="18"/>
        </w:rPr>
        <w:footnoteRef/>
      </w:r>
      <w:r w:rsidRPr="00F54C88">
        <w:rPr>
          <w:sz w:val="18"/>
          <w:szCs w:val="18"/>
        </w:rPr>
        <w:t xml:space="preserve"> </w:t>
      </w:r>
      <w:r w:rsidR="00E86BAF" w:rsidRPr="00F54C88">
        <w:rPr>
          <w:sz w:val="18"/>
          <w:szCs w:val="18"/>
        </w:rPr>
        <w:t xml:space="preserve">The process consists of, initially, identifying the category of environmental and social risk, to determine the level and depth of the due diligence that must be carried out in each case. As a result, a technical criterion is expected in this phase regarding: the main environmental and social risks of the operation, the classification of environmental, </w:t>
      </w:r>
      <w:proofErr w:type="gramStart"/>
      <w:r w:rsidR="00E86BAF" w:rsidRPr="00F54C88">
        <w:rPr>
          <w:sz w:val="18"/>
          <w:szCs w:val="18"/>
        </w:rPr>
        <w:t>social</w:t>
      </w:r>
      <w:proofErr w:type="gramEnd"/>
      <w:r w:rsidR="00E86BAF" w:rsidRPr="00F54C88">
        <w:rPr>
          <w:sz w:val="18"/>
          <w:szCs w:val="18"/>
        </w:rPr>
        <w:t xml:space="preserve"> and climatic risk, the environmental and social safeguards activated preliminarily, and the opportunities for access to the green financing, the determination of whether the operation, or part of it, qualifies as a green portfolio. If so, the terms in which </w:t>
      </w:r>
      <w:r w:rsidR="002A4EDC" w:rsidRPr="00F54C88">
        <w:rPr>
          <w:sz w:val="18"/>
          <w:szCs w:val="18"/>
        </w:rPr>
        <w:t>t</w:t>
      </w:r>
      <w:r w:rsidR="00E86BAF" w:rsidRPr="00F54C88">
        <w:rPr>
          <w:sz w:val="18"/>
          <w:szCs w:val="18"/>
        </w:rPr>
        <w:t>he operation must be evaluated from an environmental and social perspective.</w:t>
      </w:r>
    </w:p>
    <w:p w14:paraId="78D3F38D" w14:textId="33DBF4AF" w:rsidR="00765698" w:rsidRPr="00F54C88" w:rsidRDefault="00E86BAF" w:rsidP="00E86BAF">
      <w:pPr>
        <w:pStyle w:val="Textonotapie"/>
        <w:rPr>
          <w:sz w:val="18"/>
          <w:szCs w:val="18"/>
        </w:rPr>
      </w:pPr>
      <w:r w:rsidRPr="00F54C88">
        <w:rPr>
          <w:sz w:val="18"/>
          <w:szCs w:val="18"/>
        </w:rPr>
        <w:t>Subsequently, the stage of due diligence is carried out in which there is: Adequate and sufficient knowledge of the client/executing agency of the operation and of its main environmental and social risks; determining the environmental and social feasibility of the operation; the recommendation from the environmental and social perspective for the financing or not of the operation and, if so, the action plan for the control, mitigation and/or compensation of the identified risks; and an Environmental and Social Report (IAS) that consolidates the main results, conclusions and recommendations of the due diligence.</w:t>
      </w:r>
      <w:r w:rsidR="002D24D7">
        <w:rPr>
          <w:sz w:val="18"/>
          <w:szCs w:val="18"/>
        </w:rPr>
        <w:t xml:space="preserve"> </w:t>
      </w:r>
      <w:r w:rsidR="00765698" w:rsidRPr="00F54C88">
        <w:rPr>
          <w:sz w:val="18"/>
          <w:szCs w:val="18"/>
        </w:rPr>
        <w:t xml:space="preserve">For more </w:t>
      </w:r>
      <w:r w:rsidR="00EB5B1D" w:rsidRPr="00F54C88">
        <w:rPr>
          <w:sz w:val="18"/>
          <w:szCs w:val="18"/>
        </w:rPr>
        <w:t>detail</w:t>
      </w:r>
      <w:r w:rsidR="00765698" w:rsidRPr="00F54C88">
        <w:rPr>
          <w:sz w:val="18"/>
          <w:szCs w:val="18"/>
        </w:rPr>
        <w:t xml:space="preserve"> refer to chapter 6, section 6.2.</w:t>
      </w:r>
    </w:p>
    <w:p w14:paraId="687A5F90" w14:textId="77777777" w:rsidR="00765698" w:rsidRPr="002A4EDC" w:rsidRDefault="00765698" w:rsidP="00E86BAF">
      <w:pPr>
        <w:pStyle w:val="Textonotapie"/>
        <w:rPr>
          <w:lang w:val="en-US"/>
        </w:rPr>
      </w:pPr>
    </w:p>
  </w:footnote>
  <w:footnote w:id="8">
    <w:p w14:paraId="35F8ADE3" w14:textId="77777777" w:rsidR="00102605" w:rsidRPr="003E6FF8" w:rsidRDefault="00102605" w:rsidP="006029C5">
      <w:pPr>
        <w:pStyle w:val="Textonotapie"/>
        <w:rPr>
          <w:sz w:val="18"/>
          <w:szCs w:val="18"/>
        </w:rPr>
      </w:pPr>
      <w:r w:rsidRPr="003E6FF8">
        <w:rPr>
          <w:rStyle w:val="Refdenotaalpie"/>
          <w:sz w:val="18"/>
          <w:szCs w:val="18"/>
        </w:rPr>
        <w:footnoteRef/>
      </w:r>
      <w:r w:rsidRPr="003E6FF8">
        <w:rPr>
          <w:sz w:val="18"/>
          <w:szCs w:val="18"/>
        </w:rPr>
        <w:t xml:space="preserve"> See Country Diagnostics of Panamá, Paraguay, and Uruguay.</w:t>
      </w:r>
    </w:p>
  </w:footnote>
  <w:footnote w:id="9">
    <w:p w14:paraId="69BCDF02" w14:textId="4A0EE543" w:rsidR="00AE1BC1" w:rsidRPr="00AE1BC1" w:rsidRDefault="00AE1BC1">
      <w:pPr>
        <w:pStyle w:val="Textonotapie"/>
      </w:pPr>
      <w:r w:rsidRPr="003E6FF8">
        <w:rPr>
          <w:rStyle w:val="Refdenotaalpie"/>
          <w:sz w:val="18"/>
          <w:szCs w:val="18"/>
        </w:rPr>
        <w:footnoteRef/>
      </w:r>
      <w:r w:rsidRPr="003E6FF8">
        <w:rPr>
          <w:sz w:val="18"/>
          <w:szCs w:val="18"/>
        </w:rPr>
        <w:t xml:space="preserve"> </w:t>
      </w:r>
      <w:hyperlink r:id="rId1" w:history="1">
        <w:r w:rsidR="00A84ED3" w:rsidRPr="003E6FF8">
          <w:rPr>
            <w:rStyle w:val="Hipervnculo"/>
            <w:sz w:val="18"/>
            <w:szCs w:val="18"/>
          </w:rPr>
          <w:t>Panama | Data (worldbank.org)</w:t>
        </w:r>
      </w:hyperlink>
    </w:p>
  </w:footnote>
  <w:footnote w:id="10">
    <w:p w14:paraId="2554A3D9" w14:textId="1AFA6A9A" w:rsidR="00102605" w:rsidRPr="003E6FF8" w:rsidRDefault="00102605">
      <w:pPr>
        <w:pStyle w:val="Textonotapie"/>
        <w:rPr>
          <w:sz w:val="18"/>
          <w:szCs w:val="18"/>
          <w:lang w:val="en-US"/>
        </w:rPr>
      </w:pPr>
      <w:r w:rsidRPr="000B7DAE">
        <w:rPr>
          <w:rStyle w:val="Refdenotaalpie"/>
          <w:sz w:val="18"/>
          <w:szCs w:val="18"/>
        </w:rPr>
        <w:footnoteRef/>
      </w:r>
      <w:r w:rsidRPr="000B7DAE">
        <w:rPr>
          <w:sz w:val="18"/>
          <w:szCs w:val="18"/>
        </w:rPr>
        <w:t xml:space="preserve"> T</w:t>
      </w:r>
      <w:r w:rsidRPr="003E6FF8">
        <w:rPr>
          <w:sz w:val="18"/>
          <w:szCs w:val="18"/>
        </w:rPr>
        <w:t xml:space="preserve">he Environment and Climate Change Law Review: Panama, Sofía J </w:t>
      </w:r>
      <w:proofErr w:type="gramStart"/>
      <w:r w:rsidRPr="003E6FF8">
        <w:rPr>
          <w:sz w:val="18"/>
          <w:szCs w:val="18"/>
        </w:rPr>
        <w:t>Cohen</w:t>
      </w:r>
      <w:proofErr w:type="gramEnd"/>
      <w:r w:rsidRPr="003E6FF8">
        <w:rPr>
          <w:sz w:val="18"/>
          <w:szCs w:val="18"/>
        </w:rPr>
        <w:t xml:space="preserve"> and Ana M Torres, 2022, https://thelawreviews.co.uk/title/the-environment-and-climate-change-law-review/panama</w:t>
      </w:r>
    </w:p>
  </w:footnote>
  <w:footnote w:id="11">
    <w:p w14:paraId="548C9BCF" w14:textId="707663F1" w:rsidR="00102605" w:rsidRPr="00EF47DA" w:rsidRDefault="00102605">
      <w:pPr>
        <w:pStyle w:val="Textonotapie"/>
        <w:rPr>
          <w:lang w:val="en-US"/>
        </w:rPr>
      </w:pPr>
      <w:r w:rsidRPr="003E6FF8">
        <w:rPr>
          <w:rStyle w:val="Refdenotaalpie"/>
          <w:sz w:val="18"/>
          <w:szCs w:val="18"/>
        </w:rPr>
        <w:footnoteRef/>
      </w:r>
      <w:r w:rsidRPr="003E6FF8">
        <w:rPr>
          <w:sz w:val="18"/>
          <w:szCs w:val="18"/>
        </w:rPr>
        <w:t xml:space="preserve"> </w:t>
      </w:r>
      <w:r w:rsidRPr="000B7DAE">
        <w:rPr>
          <w:sz w:val="18"/>
          <w:szCs w:val="18"/>
        </w:rPr>
        <w:t xml:space="preserve">The Environment and Climate Change Law Review: Panama, Sofía J </w:t>
      </w:r>
      <w:proofErr w:type="gramStart"/>
      <w:r w:rsidRPr="000B7DAE">
        <w:rPr>
          <w:sz w:val="18"/>
          <w:szCs w:val="18"/>
        </w:rPr>
        <w:t>Cohen</w:t>
      </w:r>
      <w:proofErr w:type="gramEnd"/>
      <w:r w:rsidRPr="000B7DAE">
        <w:rPr>
          <w:sz w:val="18"/>
          <w:szCs w:val="18"/>
        </w:rPr>
        <w:t xml:space="preserve"> and </w:t>
      </w:r>
      <w:r w:rsidRPr="003E6FF8">
        <w:rPr>
          <w:sz w:val="18"/>
          <w:szCs w:val="18"/>
        </w:rPr>
        <w:t>Ana M Torres, 2022, https://thelawreviews.co.uk/title/the-environment-and-climate-change-law-review/panama</w:t>
      </w:r>
    </w:p>
  </w:footnote>
  <w:footnote w:id="12">
    <w:p w14:paraId="39C0D3F4" w14:textId="77777777" w:rsidR="00C367D7" w:rsidRPr="003E6FF8" w:rsidRDefault="00C367D7" w:rsidP="00C367D7">
      <w:pPr>
        <w:pStyle w:val="Textonotapie"/>
        <w:jc w:val="left"/>
        <w:rPr>
          <w:sz w:val="18"/>
          <w:szCs w:val="18"/>
        </w:rPr>
      </w:pPr>
      <w:r w:rsidRPr="003E6FF8">
        <w:rPr>
          <w:rStyle w:val="Refdenotaalpie"/>
          <w:sz w:val="18"/>
          <w:szCs w:val="18"/>
        </w:rPr>
        <w:footnoteRef/>
      </w:r>
      <w:r w:rsidRPr="003E6FF8">
        <w:rPr>
          <w:sz w:val="18"/>
          <w:szCs w:val="18"/>
        </w:rPr>
        <w:t xml:space="preserve"> According to the updated NDC submitted </w:t>
      </w:r>
      <w:proofErr w:type="gramStart"/>
      <w:r w:rsidRPr="003E6FF8">
        <w:rPr>
          <w:sz w:val="18"/>
          <w:szCs w:val="18"/>
        </w:rPr>
        <w:t>on</w:t>
      </w:r>
      <w:proofErr w:type="gramEnd"/>
      <w:r w:rsidRPr="003E6FF8">
        <w:rPr>
          <w:sz w:val="18"/>
          <w:szCs w:val="18"/>
        </w:rPr>
        <w:t xml:space="preserve"> December 2020, available at. https://unfccc.int/sites/default/files/NDC/2022-06/CDN1%20Actualizada%20Rep%C3%BAblica%20de%20Panam%C3%A1.pdf</w:t>
      </w:r>
    </w:p>
  </w:footnote>
  <w:footnote w:id="13">
    <w:p w14:paraId="7066FA3A" w14:textId="1DBC2060" w:rsidR="00D00E00" w:rsidRPr="003E6FF8" w:rsidRDefault="00D00E00">
      <w:pPr>
        <w:pStyle w:val="Textonotapie"/>
        <w:rPr>
          <w:sz w:val="18"/>
          <w:szCs w:val="18"/>
        </w:rPr>
      </w:pPr>
      <w:r w:rsidRPr="003E6FF8">
        <w:rPr>
          <w:rStyle w:val="Refdenotaalpie"/>
          <w:sz w:val="18"/>
          <w:szCs w:val="18"/>
        </w:rPr>
        <w:footnoteRef/>
      </w:r>
      <w:r w:rsidRPr="003E6FF8">
        <w:rPr>
          <w:sz w:val="18"/>
          <w:szCs w:val="18"/>
        </w:rPr>
        <w:t xml:space="preserve"> National Strategy for Electric Mobility, 2019. Available at: </w:t>
      </w:r>
      <w:hyperlink r:id="rId2" w:history="1">
        <w:r w:rsidRPr="003E6FF8">
          <w:rPr>
            <w:rStyle w:val="Hipervnculo"/>
            <w:sz w:val="18"/>
            <w:szCs w:val="18"/>
          </w:rPr>
          <w:t>https://movelatam.org/wp-content/uploads/2019/07/ENME-Panama-Estrategia.pdf</w:t>
        </w:r>
      </w:hyperlink>
    </w:p>
  </w:footnote>
  <w:footnote w:id="14">
    <w:p w14:paraId="528A1048" w14:textId="77777777" w:rsidR="006B2594" w:rsidRPr="003E6FF8" w:rsidRDefault="006B2594" w:rsidP="006B2594">
      <w:pPr>
        <w:pStyle w:val="Textonotapie"/>
        <w:rPr>
          <w:sz w:val="18"/>
          <w:szCs w:val="18"/>
        </w:rPr>
      </w:pPr>
      <w:r w:rsidRPr="003E6FF8">
        <w:rPr>
          <w:rStyle w:val="Refdenotaalpie"/>
          <w:sz w:val="18"/>
          <w:szCs w:val="18"/>
        </w:rPr>
        <w:footnoteRef/>
      </w:r>
      <w:r w:rsidRPr="003E6FF8">
        <w:rPr>
          <w:sz w:val="18"/>
          <w:szCs w:val="18"/>
        </w:rPr>
        <w:t xml:space="preserve"> </w:t>
      </w:r>
      <w:hyperlink r:id="rId3" w:anchor=":~:text=A%20pesar%20de%20no%20haber%20ratificado%20el%20Convenio,cuando%20se%20trata%20de%20actividades%20en%20sus%20territorios." w:history="1">
        <w:r w:rsidRPr="003E6FF8">
          <w:rPr>
            <w:rStyle w:val="Hipervnculo"/>
            <w:sz w:val="18"/>
            <w:szCs w:val="18"/>
          </w:rPr>
          <w:t xml:space="preserve">El Mundo </w:t>
        </w:r>
        <w:proofErr w:type="spellStart"/>
        <w:r w:rsidRPr="003E6FF8">
          <w:rPr>
            <w:rStyle w:val="Hipervnculo"/>
            <w:sz w:val="18"/>
            <w:szCs w:val="18"/>
          </w:rPr>
          <w:t>Indígena</w:t>
        </w:r>
        <w:proofErr w:type="spellEnd"/>
        <w:r w:rsidRPr="003E6FF8">
          <w:rPr>
            <w:rStyle w:val="Hipervnculo"/>
            <w:sz w:val="18"/>
            <w:szCs w:val="18"/>
          </w:rPr>
          <w:t xml:space="preserve"> 2022: Panamá - IWGIA - International Work Group for Indigenous Affairs</w:t>
        </w:r>
      </w:hyperlink>
    </w:p>
  </w:footnote>
  <w:footnote w:id="15">
    <w:p w14:paraId="159F8BFA" w14:textId="77777777" w:rsidR="006B2594" w:rsidRPr="005A0524" w:rsidRDefault="006B2594" w:rsidP="006B2594">
      <w:pPr>
        <w:pStyle w:val="Textonotapie"/>
      </w:pPr>
      <w:r w:rsidRPr="003E6FF8">
        <w:rPr>
          <w:rStyle w:val="Refdenotaalpie"/>
          <w:sz w:val="18"/>
          <w:szCs w:val="18"/>
        </w:rPr>
        <w:footnoteRef/>
      </w:r>
      <w:r w:rsidRPr="003E6FF8">
        <w:rPr>
          <w:sz w:val="18"/>
          <w:szCs w:val="18"/>
        </w:rPr>
        <w:t xml:space="preserve"> https://www.minsa.gob.pa/sites/default/files/proyectos/marco_indigena.pdf</w:t>
      </w:r>
    </w:p>
  </w:footnote>
  <w:footnote w:id="16">
    <w:p w14:paraId="342010B4" w14:textId="77777777" w:rsidR="00CB589A" w:rsidRPr="00E4181C" w:rsidRDefault="00CB589A" w:rsidP="00CB589A">
      <w:pPr>
        <w:pStyle w:val="Textonotapie"/>
      </w:pPr>
      <w:r w:rsidRPr="003E6FF8">
        <w:rPr>
          <w:rStyle w:val="Refdenotaalpie"/>
          <w:sz w:val="18"/>
          <w:szCs w:val="18"/>
        </w:rPr>
        <w:footnoteRef/>
      </w:r>
      <w:r w:rsidRPr="003E6FF8">
        <w:rPr>
          <w:sz w:val="18"/>
          <w:szCs w:val="18"/>
        </w:rPr>
        <w:t xml:space="preserve"> https://climate-laws.org/geographies/paraguay</w:t>
      </w:r>
    </w:p>
  </w:footnote>
  <w:footnote w:id="17">
    <w:p w14:paraId="4D2D98BD" w14:textId="77777777" w:rsidR="00CB589A" w:rsidRPr="00B656E2" w:rsidRDefault="00CB589A" w:rsidP="00CB589A">
      <w:pPr>
        <w:pStyle w:val="Textonotapie"/>
      </w:pPr>
      <w:r w:rsidRPr="003E6FF8">
        <w:rPr>
          <w:rStyle w:val="Refdenotaalpie"/>
          <w:sz w:val="18"/>
          <w:szCs w:val="18"/>
        </w:rPr>
        <w:footnoteRef/>
      </w:r>
      <w:r w:rsidRPr="003E6FF8">
        <w:rPr>
          <w:sz w:val="18"/>
          <w:szCs w:val="18"/>
        </w:rPr>
        <w:t xml:space="preserve"> https://www4.unfccc.int/sites/NAPC/Documents/Parties/Plan%20Nacional%20de%20Adaptaci%C3%B3n%20al%20Cambio%20Clim%C3%A1tico_Paraguay_final.pdf</w:t>
      </w:r>
    </w:p>
  </w:footnote>
  <w:footnote w:id="18">
    <w:p w14:paraId="54F1F9E6" w14:textId="77777777" w:rsidR="00791825" w:rsidRPr="00EF01A7" w:rsidRDefault="00791825" w:rsidP="00791825">
      <w:pPr>
        <w:pStyle w:val="Textonotapie"/>
      </w:pPr>
      <w:r w:rsidRPr="003E6FF8">
        <w:rPr>
          <w:rStyle w:val="Refdenotaalpie"/>
          <w:sz w:val="18"/>
          <w:szCs w:val="18"/>
        </w:rPr>
        <w:footnoteRef/>
      </w:r>
      <w:r w:rsidRPr="003E6FF8">
        <w:rPr>
          <w:sz w:val="18"/>
          <w:szCs w:val="18"/>
        </w:rPr>
        <w:t xml:space="preserve"> https://www.indi.gov.py/application/files/6816/2091/3496/PE_INDI_2021-2025.pdf</w:t>
      </w:r>
    </w:p>
  </w:footnote>
  <w:footnote w:id="19">
    <w:p w14:paraId="620CCCD6" w14:textId="77777777" w:rsidR="00791825" w:rsidRPr="003E6FF8" w:rsidRDefault="00791825" w:rsidP="00791825">
      <w:pPr>
        <w:pStyle w:val="Textonotapie"/>
        <w:rPr>
          <w:sz w:val="18"/>
          <w:szCs w:val="18"/>
        </w:rPr>
      </w:pPr>
      <w:r w:rsidRPr="003E6FF8">
        <w:rPr>
          <w:rStyle w:val="Refdenotaalpie"/>
          <w:sz w:val="18"/>
          <w:szCs w:val="18"/>
        </w:rPr>
        <w:footnoteRef/>
      </w:r>
      <w:r w:rsidRPr="003E6FF8">
        <w:rPr>
          <w:sz w:val="18"/>
          <w:szCs w:val="18"/>
        </w:rPr>
        <w:t xml:space="preserve"> https://generoeninfraestructura.iadb.org/en/country/paraguay</w:t>
      </w:r>
    </w:p>
  </w:footnote>
  <w:footnote w:id="20">
    <w:p w14:paraId="201B173E" w14:textId="77777777" w:rsidR="00791825" w:rsidRPr="00610034" w:rsidRDefault="00791825" w:rsidP="00791825">
      <w:pPr>
        <w:pStyle w:val="Textonotapie"/>
      </w:pPr>
      <w:r w:rsidRPr="003E6FF8">
        <w:rPr>
          <w:rStyle w:val="Refdenotaalpie"/>
          <w:sz w:val="18"/>
          <w:szCs w:val="18"/>
        </w:rPr>
        <w:footnoteRef/>
      </w:r>
      <w:r w:rsidRPr="003E6FF8">
        <w:rPr>
          <w:sz w:val="18"/>
          <w:szCs w:val="18"/>
        </w:rPr>
        <w:t xml:space="preserve"> https://oig.cepal.org/sites/default/files/paraguay_2018-2024_plan_de_igualdad.pdf</w:t>
      </w:r>
    </w:p>
  </w:footnote>
  <w:footnote w:id="21">
    <w:p w14:paraId="2C09413E" w14:textId="77777777" w:rsidR="002E5305" w:rsidRPr="003E6FF8" w:rsidRDefault="002E5305" w:rsidP="002E5305">
      <w:pPr>
        <w:pStyle w:val="Textonotapie"/>
        <w:rPr>
          <w:sz w:val="18"/>
          <w:szCs w:val="18"/>
        </w:rPr>
      </w:pPr>
      <w:r w:rsidRPr="003E6FF8">
        <w:rPr>
          <w:rStyle w:val="Refdenotaalpie"/>
          <w:sz w:val="18"/>
          <w:szCs w:val="18"/>
        </w:rPr>
        <w:footnoteRef/>
      </w:r>
      <w:r w:rsidRPr="003E6FF8">
        <w:rPr>
          <w:sz w:val="18"/>
          <w:szCs w:val="18"/>
        </w:rPr>
        <w:t xml:space="preserve"> https://www.ssme.gov.py/vmme/pdf/H2/H2%20Marco_Conceptual_DIGITAL.pdf</w:t>
      </w:r>
    </w:p>
  </w:footnote>
  <w:footnote w:id="22">
    <w:p w14:paraId="7A18AEC7" w14:textId="77777777" w:rsidR="002E5305" w:rsidRPr="003E6FF8" w:rsidRDefault="002E5305" w:rsidP="002E5305">
      <w:pPr>
        <w:pStyle w:val="Textonotapie"/>
        <w:rPr>
          <w:sz w:val="18"/>
          <w:szCs w:val="18"/>
          <w:lang w:val="en-US"/>
        </w:rPr>
      </w:pPr>
      <w:r w:rsidRPr="003E6FF8">
        <w:rPr>
          <w:rStyle w:val="Refdenotaalpie"/>
          <w:sz w:val="18"/>
          <w:szCs w:val="18"/>
        </w:rPr>
        <w:footnoteRef/>
      </w:r>
      <w:r w:rsidRPr="003E6FF8">
        <w:rPr>
          <w:sz w:val="18"/>
          <w:szCs w:val="18"/>
        </w:rPr>
        <w:t xml:space="preserve"> https://observatorioplanificacion.cepal.org/es/planes/plan-nacional-de-desarrollo-paraguay-2030</w:t>
      </w:r>
    </w:p>
  </w:footnote>
  <w:footnote w:id="23">
    <w:p w14:paraId="1FF5FE88" w14:textId="77777777" w:rsidR="002E5305" w:rsidRPr="00B01398" w:rsidRDefault="002E5305" w:rsidP="002E5305">
      <w:pPr>
        <w:pStyle w:val="Textonotapie"/>
      </w:pPr>
      <w:r w:rsidRPr="003E6FF8">
        <w:rPr>
          <w:rStyle w:val="Refdenotaalpie"/>
          <w:sz w:val="18"/>
          <w:szCs w:val="18"/>
        </w:rPr>
        <w:footnoteRef/>
      </w:r>
      <w:r w:rsidRPr="003E6FF8">
        <w:rPr>
          <w:sz w:val="18"/>
          <w:szCs w:val="18"/>
        </w:rPr>
        <w:t xml:space="preserve"> https://unfccc.int/NDCREG</w:t>
      </w:r>
    </w:p>
  </w:footnote>
  <w:footnote w:id="24">
    <w:p w14:paraId="78C00622" w14:textId="77777777" w:rsidR="003A1FF7" w:rsidRPr="005D5CF5" w:rsidRDefault="003A1FF7" w:rsidP="003A1FF7">
      <w:pPr>
        <w:pStyle w:val="Textonotapie"/>
        <w:rPr>
          <w:lang w:val="en-US"/>
        </w:rPr>
      </w:pPr>
      <w:r w:rsidRPr="007618E4">
        <w:rPr>
          <w:rStyle w:val="Refdenotaalpie"/>
          <w:sz w:val="18"/>
          <w:szCs w:val="18"/>
        </w:rPr>
        <w:footnoteRef/>
      </w:r>
      <w:r w:rsidRPr="007618E4">
        <w:rPr>
          <w:sz w:val="18"/>
          <w:szCs w:val="18"/>
        </w:rPr>
        <w:t xml:space="preserve"> </w:t>
      </w:r>
      <w:r w:rsidRPr="007618E4">
        <w:rPr>
          <w:sz w:val="18"/>
          <w:szCs w:val="18"/>
          <w:lang w:val="en-US"/>
        </w:rPr>
        <w:t>Global intensity objectives related to the evolution of the economy, mainly Energy but Transport and industrial processes included.</w:t>
      </w:r>
    </w:p>
  </w:footnote>
  <w:footnote w:id="25">
    <w:p w14:paraId="7AB494F8" w14:textId="5A3DE728" w:rsidR="005A3289" w:rsidRPr="00E57AD0" w:rsidRDefault="005A3289" w:rsidP="005A3289">
      <w:pPr>
        <w:pStyle w:val="Textonotapie"/>
        <w:rPr>
          <w:lang w:val="en-US"/>
        </w:rPr>
      </w:pPr>
      <w:r w:rsidRPr="007618E4">
        <w:rPr>
          <w:rStyle w:val="Refdenotaalpie"/>
          <w:sz w:val="18"/>
          <w:szCs w:val="18"/>
        </w:rPr>
        <w:footnoteRef/>
      </w:r>
      <w:r w:rsidRPr="007618E4">
        <w:rPr>
          <w:sz w:val="18"/>
          <w:szCs w:val="18"/>
        </w:rPr>
        <w:t xml:space="preserve"> </w:t>
      </w:r>
      <w:r w:rsidRPr="007618E4">
        <w:rPr>
          <w:rFonts w:cs="Arial"/>
          <w:sz w:val="18"/>
          <w:szCs w:val="18"/>
        </w:rPr>
        <w:t xml:space="preserve">Retired Electric Vehicle (EV) Batteries: Integrated Waste Management and Research Needs. </w:t>
      </w:r>
      <w:proofErr w:type="spellStart"/>
      <w:r w:rsidRPr="007618E4">
        <w:rPr>
          <w:rFonts w:cs="Arial"/>
          <w:sz w:val="18"/>
          <w:szCs w:val="18"/>
        </w:rPr>
        <w:t>Yuanan</w:t>
      </w:r>
      <w:proofErr w:type="spellEnd"/>
      <w:r w:rsidRPr="007618E4">
        <w:rPr>
          <w:rFonts w:cs="Arial"/>
          <w:sz w:val="18"/>
          <w:szCs w:val="18"/>
        </w:rPr>
        <w:t xml:space="preserve"> Hu, </w:t>
      </w:r>
      <w:proofErr w:type="spellStart"/>
      <w:r w:rsidRPr="007618E4">
        <w:rPr>
          <w:rFonts w:cs="Arial"/>
          <w:sz w:val="18"/>
          <w:szCs w:val="18"/>
        </w:rPr>
        <w:t>Hefa</w:t>
      </w:r>
      <w:proofErr w:type="spellEnd"/>
      <w:r w:rsidRPr="007618E4">
        <w:rPr>
          <w:rFonts w:cs="Arial"/>
          <w:sz w:val="18"/>
          <w:szCs w:val="18"/>
        </w:rPr>
        <w:t xml:space="preserve"> Cheng and Shu Tao. Beijing, China: American Chemical Society, Environ. </w:t>
      </w:r>
      <w:r w:rsidRPr="00E57AD0">
        <w:rPr>
          <w:rFonts w:cs="Arial"/>
          <w:sz w:val="18"/>
          <w:szCs w:val="18"/>
          <w:lang w:val="en-US"/>
        </w:rPr>
        <w:t>Sci. Technol, 2017, Vol. 51 (10927−10929).</w:t>
      </w:r>
    </w:p>
  </w:footnote>
  <w:footnote w:id="26">
    <w:p w14:paraId="39566D21" w14:textId="77777777" w:rsidR="004F3EFA" w:rsidRPr="00FD6A77" w:rsidRDefault="004F3EFA" w:rsidP="00CF44FC">
      <w:pPr>
        <w:pStyle w:val="Textonotapie"/>
        <w:jc w:val="left"/>
        <w:rPr>
          <w:lang w:val="en-US"/>
        </w:rPr>
      </w:pPr>
      <w:r w:rsidRPr="00FD6A77">
        <w:rPr>
          <w:rStyle w:val="Refdenotaalpie"/>
          <w:sz w:val="18"/>
          <w:szCs w:val="18"/>
        </w:rPr>
        <w:footnoteRef/>
      </w:r>
      <w:r w:rsidRPr="00FD6A77">
        <w:rPr>
          <w:sz w:val="18"/>
          <w:szCs w:val="18"/>
        </w:rPr>
        <w:t xml:space="preserve"> </w:t>
      </w:r>
      <w:r w:rsidRPr="00FD6A77">
        <w:rPr>
          <w:sz w:val="18"/>
          <w:szCs w:val="18"/>
          <w:lang w:val="en-US"/>
        </w:rPr>
        <w:t xml:space="preserve">Ministry of Ecology and Environment of the People’s Republic of China: </w:t>
      </w:r>
      <w:hyperlink r:id="rId4" w:history="1">
        <w:r w:rsidRPr="00FD6A77">
          <w:rPr>
            <w:rStyle w:val="Hipervnculo"/>
            <w:sz w:val="18"/>
            <w:szCs w:val="18"/>
            <w:lang w:val="en-US"/>
          </w:rPr>
          <w:t>https://www.mee.gov.cn/ywgz/fgbz/bz/bzwb/gthw/qtxgbz/202108/t20210820_858544.shtml</w:t>
        </w:r>
      </w:hyperlink>
      <w:r w:rsidRPr="00FD6A77">
        <w:rPr>
          <w:sz w:val="18"/>
          <w:szCs w:val="18"/>
          <w:lang w:val="en-US"/>
        </w:rPr>
        <w:t xml:space="preserve"> </w:t>
      </w:r>
    </w:p>
  </w:footnote>
  <w:footnote w:id="27">
    <w:p w14:paraId="7CC3E90C" w14:textId="2622CE6D" w:rsidR="005A3289" w:rsidRPr="007618E4" w:rsidRDefault="005A3289" w:rsidP="005A3289">
      <w:pPr>
        <w:pStyle w:val="Textonotapie"/>
        <w:rPr>
          <w:sz w:val="18"/>
          <w:szCs w:val="18"/>
          <w:lang w:val="es-UY"/>
        </w:rPr>
      </w:pPr>
      <w:r w:rsidRPr="007618E4">
        <w:rPr>
          <w:rStyle w:val="Refdenotaalpie"/>
          <w:sz w:val="18"/>
          <w:szCs w:val="18"/>
        </w:rPr>
        <w:footnoteRef/>
      </w:r>
      <w:r w:rsidRPr="007618E4">
        <w:rPr>
          <w:sz w:val="18"/>
          <w:szCs w:val="18"/>
          <w:lang w:val="es-UY"/>
        </w:rPr>
        <w:t xml:space="preserve"> 16. Comisión Europea. Decisión de la Comisión 18 de diciembre de 2014 por la que se modifica la Decisión 2000/532/CE, sobre la lista de residuos, de conformidad con la Directiva 2008/98/CE del Parlamento Europeo y del Consejo. Bruselas: Diario Oficial de la Unión Europea, 2014.</w:t>
      </w:r>
    </w:p>
  </w:footnote>
  <w:footnote w:id="28">
    <w:p w14:paraId="02D0746A" w14:textId="04F639E7" w:rsidR="005A3289" w:rsidRPr="00E57AD0" w:rsidRDefault="005A3289" w:rsidP="005A3289">
      <w:pPr>
        <w:pStyle w:val="Textonotapie"/>
        <w:rPr>
          <w:lang w:val="en-US"/>
        </w:rPr>
      </w:pPr>
      <w:r w:rsidRPr="007618E4">
        <w:rPr>
          <w:rStyle w:val="Refdenotaalpie"/>
          <w:sz w:val="18"/>
          <w:szCs w:val="18"/>
        </w:rPr>
        <w:footnoteRef/>
      </w:r>
      <w:r w:rsidRPr="007618E4">
        <w:rPr>
          <w:sz w:val="18"/>
          <w:szCs w:val="18"/>
          <w:lang w:val="es-UY"/>
        </w:rPr>
        <w:t xml:space="preserve"> Naciones Unidas. Recomendaciones relativas al Transporte de Mercancías Peligrosas, Reglamento Modelo </w:t>
      </w:r>
      <w:r w:rsidRPr="0018648E">
        <w:rPr>
          <w:sz w:val="18"/>
          <w:szCs w:val="18"/>
          <w:lang w:val="es-AR"/>
        </w:rPr>
        <w:t xml:space="preserve">Nueva York y Ginebra: s.n., 2009. </w:t>
      </w:r>
      <w:r w:rsidRPr="00E57AD0">
        <w:rPr>
          <w:sz w:val="18"/>
          <w:szCs w:val="18"/>
          <w:lang w:val="en-US"/>
        </w:rPr>
        <w:t>Vol. 1, 978-92-1-339043-6. ST/SG/AC.10/1/Rev.16.</w:t>
      </w:r>
    </w:p>
  </w:footnote>
  <w:footnote w:id="29">
    <w:p w14:paraId="0538328A" w14:textId="050FC905" w:rsidR="00102605" w:rsidRPr="007042B4" w:rsidRDefault="00102605" w:rsidP="004E4C8E">
      <w:pPr>
        <w:pStyle w:val="Textonotapie"/>
        <w:rPr>
          <w:lang w:val="en-US"/>
        </w:rPr>
      </w:pPr>
      <w:r>
        <w:rPr>
          <w:rStyle w:val="Refdenotaalpie"/>
        </w:rPr>
        <w:footnoteRef/>
      </w:r>
      <w:r w:rsidRPr="007042B4">
        <w:rPr>
          <w:lang w:val="en-US"/>
        </w:rPr>
        <w:t xml:space="preserve"> </w:t>
      </w:r>
      <w:r>
        <w:rPr>
          <w:iCs/>
          <w:color w:val="000000" w:themeColor="text1"/>
          <w:sz w:val="18"/>
          <w:szCs w:val="18"/>
          <w:lang w:eastAsia="ja-JP"/>
        </w:rPr>
        <w:t>O</w:t>
      </w:r>
      <w:r w:rsidRPr="007042B4">
        <w:rPr>
          <w:iCs/>
          <w:color w:val="000000" w:themeColor="text1"/>
          <w:sz w:val="18"/>
          <w:szCs w:val="18"/>
          <w:lang w:eastAsia="ja-JP"/>
        </w:rPr>
        <w:t>ver the lifetime of the project based on the initial pipeline of projects</w:t>
      </w:r>
      <w:r>
        <w:rPr>
          <w:iCs/>
          <w:color w:val="000000" w:themeColor="text1"/>
          <w:sz w:val="18"/>
          <w:szCs w:val="18"/>
          <w:lang w:eastAsia="ja-JP"/>
        </w:rPr>
        <w:t>,</w:t>
      </w:r>
      <w:r w:rsidRPr="007042B4">
        <w:rPr>
          <w:iCs/>
          <w:color w:val="000000" w:themeColor="text1"/>
          <w:sz w:val="18"/>
          <w:szCs w:val="18"/>
          <w:lang w:eastAsia="ja-JP"/>
        </w:rPr>
        <w:t xml:space="preserve"> Actual </w:t>
      </w:r>
      <w:r>
        <w:rPr>
          <w:iCs/>
          <w:color w:val="000000" w:themeColor="text1"/>
          <w:sz w:val="18"/>
          <w:szCs w:val="18"/>
          <w:lang w:eastAsia="ja-JP"/>
        </w:rPr>
        <w:t>Sub-Program 2</w:t>
      </w:r>
      <w:r w:rsidRPr="007042B4">
        <w:rPr>
          <w:iCs/>
          <w:color w:val="000000" w:themeColor="text1"/>
          <w:sz w:val="18"/>
          <w:szCs w:val="18"/>
          <w:lang w:eastAsia="ja-JP"/>
        </w:rPr>
        <w:t xml:space="preserve"> emission reductions will depend on which projects are </w:t>
      </w:r>
      <w:proofErr w:type="gramStart"/>
      <w:r w:rsidRPr="007042B4">
        <w:rPr>
          <w:iCs/>
          <w:color w:val="000000" w:themeColor="text1"/>
          <w:sz w:val="18"/>
          <w:szCs w:val="18"/>
          <w:lang w:eastAsia="ja-JP"/>
        </w:rPr>
        <w:t>actually implemented</w:t>
      </w:r>
      <w:proofErr w:type="gramEnd"/>
      <w:r w:rsidRPr="007042B4">
        <w:rPr>
          <w:iCs/>
          <w:color w:val="000000" w:themeColor="text1"/>
          <w:sz w:val="18"/>
          <w:szCs w:val="18"/>
          <w:lang w:eastAsia="ja-JP"/>
        </w:rPr>
        <w:t xml:space="preserve"> and will be monitored by the </w:t>
      </w:r>
      <w:r>
        <w:rPr>
          <w:iCs/>
          <w:color w:val="000000" w:themeColor="text1"/>
          <w:sz w:val="18"/>
          <w:szCs w:val="18"/>
          <w:lang w:eastAsia="ja-JP"/>
        </w:rPr>
        <w:t>Sub-Program 2.</w:t>
      </w:r>
    </w:p>
  </w:footnote>
  <w:footnote w:id="30">
    <w:p w14:paraId="50040236" w14:textId="77777777" w:rsidR="00102605" w:rsidRPr="00AE798F" w:rsidRDefault="00102605" w:rsidP="004E4C8E">
      <w:pPr>
        <w:rPr>
          <w:rFonts w:cs="Arial"/>
          <w:sz w:val="18"/>
          <w:szCs w:val="18"/>
        </w:rPr>
      </w:pPr>
      <w:r w:rsidRPr="00AE798F">
        <w:rPr>
          <w:rStyle w:val="Refdenotaalpie"/>
          <w:rFonts w:cs="Arial"/>
          <w:sz w:val="18"/>
          <w:szCs w:val="18"/>
        </w:rPr>
        <w:footnoteRef/>
      </w:r>
      <w:r w:rsidRPr="00AE798F">
        <w:rPr>
          <w:rFonts w:cs="Arial"/>
          <w:sz w:val="18"/>
          <w:szCs w:val="18"/>
        </w:rPr>
        <w:t xml:space="preserve"> McKinsey (2019)</w:t>
      </w:r>
    </w:p>
  </w:footnote>
  <w:footnote w:id="31">
    <w:p w14:paraId="2F390A7E" w14:textId="0E9EF016" w:rsidR="00102605" w:rsidRPr="00DA1875" w:rsidRDefault="00102605" w:rsidP="007F1E36">
      <w:pPr>
        <w:pStyle w:val="Textonotapie"/>
        <w:rPr>
          <w:sz w:val="18"/>
          <w:szCs w:val="18"/>
        </w:rPr>
      </w:pPr>
      <w:r w:rsidRPr="00DA1875">
        <w:rPr>
          <w:rStyle w:val="Refdenotaalpie"/>
          <w:sz w:val="18"/>
          <w:szCs w:val="18"/>
        </w:rPr>
        <w:footnoteRef/>
      </w:r>
      <w:r w:rsidRPr="00DA1875">
        <w:rPr>
          <w:sz w:val="18"/>
          <w:szCs w:val="18"/>
        </w:rPr>
        <w:t xml:space="preserve"> Financed as part of the PMU and </w:t>
      </w:r>
      <w:r w:rsidR="005914EB" w:rsidRPr="00DA1875">
        <w:rPr>
          <w:sz w:val="18"/>
          <w:szCs w:val="18"/>
        </w:rPr>
        <w:t>sub-</w:t>
      </w:r>
      <w:r w:rsidRPr="00DA1875">
        <w:rPr>
          <w:sz w:val="18"/>
          <w:szCs w:val="18"/>
        </w:rPr>
        <w:t>project sourcing activities under Output 1.5.3</w:t>
      </w:r>
    </w:p>
  </w:footnote>
  <w:footnote w:id="32">
    <w:p w14:paraId="3A545FB6" w14:textId="05C7DB6D" w:rsidR="0049423E" w:rsidRPr="002C4904" w:rsidRDefault="0049423E" w:rsidP="007F1E36">
      <w:pPr>
        <w:pStyle w:val="Textonotapie"/>
        <w:rPr>
          <w:lang w:val="en-US"/>
        </w:rPr>
      </w:pPr>
      <w:r w:rsidRPr="00DA1875">
        <w:rPr>
          <w:rStyle w:val="Refdenotaalpie"/>
          <w:sz w:val="18"/>
          <w:szCs w:val="18"/>
        </w:rPr>
        <w:footnoteRef/>
      </w:r>
      <w:r w:rsidRPr="00DA1875">
        <w:rPr>
          <w:sz w:val="18"/>
          <w:szCs w:val="18"/>
          <w:lang w:val="en-US"/>
        </w:rPr>
        <w:t xml:space="preserve"> </w:t>
      </w:r>
      <w:r w:rsidRPr="003F381C">
        <w:rPr>
          <w:sz w:val="18"/>
          <w:szCs w:val="18"/>
          <w:lang w:val="en-US"/>
        </w:rPr>
        <w:t xml:space="preserve">The Sub-Program 2 will exclude sub-projects that involves land acquisition and involuntary resettlement, or modification to natural and critical habitats or legally protected and internationally recognized areas, or any modification to natural and critical habitats or legally protected and internationally recognized </w:t>
      </w:r>
      <w:proofErr w:type="gramStart"/>
      <w:r w:rsidRPr="003F381C">
        <w:rPr>
          <w:sz w:val="18"/>
          <w:szCs w:val="18"/>
          <w:lang w:val="en-US"/>
        </w:rPr>
        <w:t>areas, or</w:t>
      </w:r>
      <w:proofErr w:type="gramEnd"/>
      <w:r w:rsidRPr="003F381C">
        <w:rPr>
          <w:sz w:val="18"/>
          <w:szCs w:val="18"/>
          <w:lang w:val="en-US"/>
        </w:rPr>
        <w:t xml:space="preserve"> affect indigenous peoples.</w:t>
      </w:r>
    </w:p>
  </w:footnote>
  <w:footnote w:id="33">
    <w:p w14:paraId="3AA92DC8" w14:textId="11AF7EDD" w:rsidR="00102605" w:rsidRPr="003B0B7F" w:rsidRDefault="00102605" w:rsidP="00066768">
      <w:pPr>
        <w:pStyle w:val="Textonotapie"/>
        <w:rPr>
          <w:sz w:val="18"/>
          <w:szCs w:val="18"/>
        </w:rPr>
      </w:pPr>
      <w:r w:rsidRPr="003B0B7F">
        <w:rPr>
          <w:rStyle w:val="Refdenotaalpie"/>
          <w:sz w:val="18"/>
          <w:szCs w:val="18"/>
        </w:rPr>
        <w:footnoteRef/>
      </w:r>
      <w:r w:rsidRPr="003B0B7F">
        <w:rPr>
          <w:sz w:val="18"/>
          <w:szCs w:val="18"/>
        </w:rPr>
        <w:t xml:space="preserve"> Financed as part of the PMU and </w:t>
      </w:r>
      <w:r w:rsidR="005914EB" w:rsidRPr="003B0B7F">
        <w:rPr>
          <w:sz w:val="18"/>
          <w:szCs w:val="18"/>
        </w:rPr>
        <w:t>sub-</w:t>
      </w:r>
      <w:r w:rsidRPr="003B0B7F">
        <w:rPr>
          <w:sz w:val="18"/>
          <w:szCs w:val="18"/>
        </w:rPr>
        <w:t>project sourcing activities under Output 1.5.3</w:t>
      </w:r>
    </w:p>
  </w:footnote>
  <w:footnote w:id="34">
    <w:p w14:paraId="62ACD3F8" w14:textId="30D4DBA5" w:rsidR="00102605" w:rsidRPr="002C4904" w:rsidRDefault="00102605" w:rsidP="00066768">
      <w:pPr>
        <w:pStyle w:val="Textonotapie"/>
        <w:rPr>
          <w:lang w:val="en-US"/>
        </w:rPr>
      </w:pPr>
      <w:r w:rsidRPr="003B0B7F">
        <w:rPr>
          <w:rStyle w:val="Refdenotaalpie"/>
          <w:sz w:val="18"/>
          <w:szCs w:val="18"/>
        </w:rPr>
        <w:footnoteRef/>
      </w:r>
      <w:r w:rsidRPr="003B0B7F">
        <w:rPr>
          <w:sz w:val="18"/>
          <w:szCs w:val="18"/>
          <w:lang w:val="en-US"/>
        </w:rPr>
        <w:t xml:space="preserve"> The Sub-Program 2 will exclude </w:t>
      </w:r>
      <w:r w:rsidR="005914EB" w:rsidRPr="003B0B7F">
        <w:rPr>
          <w:sz w:val="18"/>
          <w:szCs w:val="18"/>
          <w:lang w:val="en-US"/>
        </w:rPr>
        <w:t>sub-</w:t>
      </w:r>
      <w:r w:rsidRPr="003B0B7F">
        <w:rPr>
          <w:sz w:val="18"/>
          <w:szCs w:val="18"/>
          <w:lang w:val="en-US"/>
        </w:rPr>
        <w:t xml:space="preserve">projects that involves land acquisition and involuntary resettlement, any modification to natural and critical habitats or legally protected and internationally recognized areas, and any modification to natural and critical habitats or legally protected and internationally recognized </w:t>
      </w:r>
      <w:proofErr w:type="gramStart"/>
      <w:r w:rsidRPr="003B0B7F">
        <w:rPr>
          <w:sz w:val="18"/>
          <w:szCs w:val="18"/>
          <w:lang w:val="en-US"/>
        </w:rPr>
        <w:t>areas, and</w:t>
      </w:r>
      <w:proofErr w:type="gramEnd"/>
      <w:r w:rsidRPr="003B0B7F">
        <w:rPr>
          <w:sz w:val="18"/>
          <w:szCs w:val="18"/>
          <w:lang w:val="en-US"/>
        </w:rPr>
        <w:t xml:space="preserve"> affect indigenous peoples.</w:t>
      </w:r>
    </w:p>
  </w:footnote>
  <w:footnote w:id="35">
    <w:p w14:paraId="246EBE38" w14:textId="77777777" w:rsidR="005436E2" w:rsidRPr="00873187" w:rsidRDefault="005436E2" w:rsidP="005436E2">
      <w:pPr>
        <w:pStyle w:val="Textonotapie"/>
        <w:rPr>
          <w:sz w:val="18"/>
          <w:szCs w:val="18"/>
        </w:rPr>
      </w:pPr>
      <w:r w:rsidRPr="00873187">
        <w:rPr>
          <w:rStyle w:val="Refdenotaalpie"/>
          <w:sz w:val="18"/>
          <w:szCs w:val="18"/>
        </w:rPr>
        <w:footnoteRef/>
      </w:r>
      <w:r w:rsidRPr="00873187">
        <w:rPr>
          <w:sz w:val="18"/>
          <w:szCs w:val="18"/>
          <w:lang w:val="en-US"/>
        </w:rPr>
        <w:t xml:space="preserve"> </w:t>
      </w:r>
      <w:r w:rsidRPr="00873187">
        <w:rPr>
          <w:sz w:val="18"/>
          <w:szCs w:val="18"/>
        </w:rPr>
        <w:t xml:space="preserve">The first part of this definition is taken from the definition of tribal groups in Agreement 169 of the ILO. </w:t>
      </w:r>
    </w:p>
  </w:footnote>
  <w:footnote w:id="36">
    <w:p w14:paraId="47841DF8" w14:textId="77777777" w:rsidR="005436E2" w:rsidRDefault="005436E2" w:rsidP="005436E2">
      <w:pPr>
        <w:pStyle w:val="Textonotapie"/>
      </w:pPr>
      <w:r w:rsidRPr="00873187">
        <w:rPr>
          <w:rStyle w:val="Refdenotaalpie"/>
          <w:sz w:val="18"/>
          <w:szCs w:val="18"/>
        </w:rPr>
        <w:footnoteRef/>
      </w:r>
      <w:r w:rsidRPr="00873187">
        <w:rPr>
          <w:sz w:val="18"/>
          <w:szCs w:val="18"/>
        </w:rPr>
        <w:t xml:space="preserve"> This definition is taken from Operational Policy 7.65 of the Inter-American Development Bank (IDB). </w:t>
      </w:r>
    </w:p>
  </w:footnote>
  <w:footnote w:id="37">
    <w:p w14:paraId="327E92B4" w14:textId="30A1BFBB" w:rsidR="005436E2" w:rsidRPr="00873187" w:rsidRDefault="005436E2" w:rsidP="005436E2">
      <w:pPr>
        <w:pStyle w:val="Textonotapie"/>
        <w:rPr>
          <w:sz w:val="18"/>
          <w:szCs w:val="18"/>
        </w:rPr>
      </w:pPr>
      <w:r w:rsidRPr="00873187">
        <w:rPr>
          <w:rStyle w:val="Refdenotaalpie"/>
          <w:sz w:val="18"/>
          <w:szCs w:val="18"/>
        </w:rPr>
        <w:footnoteRef/>
      </w:r>
      <w:r w:rsidRPr="00873187">
        <w:rPr>
          <w:sz w:val="18"/>
          <w:szCs w:val="18"/>
          <w:lang w:val="en-US"/>
        </w:rPr>
        <w:t xml:space="preserve"> </w:t>
      </w:r>
      <w:r w:rsidRPr="00873187">
        <w:rPr>
          <w:sz w:val="18"/>
          <w:szCs w:val="18"/>
        </w:rPr>
        <w:t>Taken and adapted from the IDB's Operational Policy on Indigenous peoples</w:t>
      </w:r>
      <w:r w:rsidR="00D150E7" w:rsidRPr="00873187">
        <w:rPr>
          <w:sz w:val="18"/>
          <w:szCs w:val="18"/>
        </w:rPr>
        <w:t>.</w:t>
      </w:r>
    </w:p>
  </w:footnote>
  <w:footnote w:id="38">
    <w:p w14:paraId="3CCED48A" w14:textId="77777777" w:rsidR="005436E2" w:rsidRDefault="005436E2" w:rsidP="005436E2">
      <w:pPr>
        <w:pStyle w:val="Textonotapie"/>
      </w:pPr>
      <w:r w:rsidRPr="00873187">
        <w:rPr>
          <w:rStyle w:val="Refdenotaalpie"/>
          <w:sz w:val="18"/>
          <w:szCs w:val="18"/>
        </w:rPr>
        <w:footnoteRef/>
      </w:r>
      <w:r w:rsidRPr="00873187">
        <w:rPr>
          <w:sz w:val="18"/>
          <w:szCs w:val="18"/>
          <w:lang w:val="en-US"/>
        </w:rPr>
        <w:t xml:space="preserve"> </w:t>
      </w:r>
      <w:r w:rsidRPr="00873187">
        <w:rPr>
          <w:sz w:val="18"/>
          <w:szCs w:val="18"/>
        </w:rPr>
        <w:t>To determine the level of significance and magnitude of an impact, the evaluation must be conducted in a participative manner taking into consideration the level of vulnerability of the specific group given its characteristics and its relationship with the land and resources.</w:t>
      </w:r>
    </w:p>
  </w:footnote>
  <w:footnote w:id="39">
    <w:p w14:paraId="38AE959C" w14:textId="77777777" w:rsidR="00AB7AF8" w:rsidRPr="0056221C" w:rsidRDefault="00AB7AF8" w:rsidP="00AB7AF8">
      <w:pPr>
        <w:pStyle w:val="Textonotapie"/>
        <w:rPr>
          <w:szCs w:val="18"/>
        </w:rPr>
      </w:pPr>
      <w:r w:rsidRPr="0056221C">
        <w:rPr>
          <w:rStyle w:val="Refdenotaalpie"/>
          <w:rFonts w:ascii="Century Gothic" w:hAnsi="Century Gothic"/>
          <w:sz w:val="18"/>
          <w:szCs w:val="18"/>
        </w:rPr>
        <w:footnoteRef/>
      </w:r>
      <w:r w:rsidRPr="0056221C">
        <w:rPr>
          <w:szCs w:val="18"/>
        </w:rPr>
        <w:t xml:space="preserve"> Detailed TA Budget can be found in Annex </w:t>
      </w:r>
      <w:r>
        <w:rPr>
          <w:szCs w:val="18"/>
        </w:rPr>
        <w:t>7</w:t>
      </w:r>
    </w:p>
  </w:footnote>
  <w:footnote w:id="40">
    <w:p w14:paraId="1CAE488E" w14:textId="77777777" w:rsidR="00AB7AF8" w:rsidRPr="00E64805" w:rsidRDefault="00AB7AF8" w:rsidP="00AB7AF8">
      <w:pPr>
        <w:pStyle w:val="Textonotapie"/>
        <w:rPr>
          <w:rFonts w:cs="Arial"/>
          <w:sz w:val="18"/>
          <w:szCs w:val="18"/>
        </w:rPr>
      </w:pPr>
      <w:r w:rsidRPr="00E64805">
        <w:rPr>
          <w:rStyle w:val="Refdenotaalpie"/>
          <w:rFonts w:cs="Arial"/>
          <w:sz w:val="18"/>
          <w:szCs w:val="18"/>
        </w:rPr>
        <w:footnoteRef/>
      </w:r>
      <w:r w:rsidRPr="00E64805">
        <w:rPr>
          <w:rFonts w:cs="Arial"/>
          <w:sz w:val="18"/>
          <w:szCs w:val="18"/>
        </w:rPr>
        <w:t xml:space="preserve"> Light Commercial Vehicles (LCVs) would include public fleets and private LCV fleets. Public fleets are not buses for public </w:t>
      </w:r>
      <w:proofErr w:type="gramStart"/>
      <w:r w:rsidRPr="00E64805">
        <w:rPr>
          <w:rFonts w:cs="Arial"/>
          <w:sz w:val="18"/>
          <w:szCs w:val="18"/>
        </w:rPr>
        <w:t>transport,</w:t>
      </w:r>
      <w:proofErr w:type="gramEnd"/>
      <w:r w:rsidRPr="00E64805">
        <w:rPr>
          <w:rFonts w:cs="Arial"/>
          <w:sz w:val="18"/>
          <w:szCs w:val="18"/>
        </w:rPr>
        <w:t xml:space="preserve"> those are for public entities mobility operations.</w:t>
      </w:r>
    </w:p>
  </w:footnote>
  <w:footnote w:id="41">
    <w:p w14:paraId="652242FB" w14:textId="77777777" w:rsidR="00AB7AF8" w:rsidRPr="00E64805" w:rsidRDefault="00AB7AF8" w:rsidP="00AB7AF8">
      <w:pPr>
        <w:pStyle w:val="Textonotapie"/>
        <w:rPr>
          <w:rFonts w:cs="Arial"/>
          <w:sz w:val="18"/>
          <w:szCs w:val="18"/>
        </w:rPr>
      </w:pPr>
      <w:r w:rsidRPr="00E64805">
        <w:rPr>
          <w:rStyle w:val="Refdenotaalpie"/>
          <w:rFonts w:cs="Arial"/>
          <w:sz w:val="18"/>
          <w:szCs w:val="18"/>
        </w:rPr>
        <w:footnoteRef/>
      </w:r>
      <w:r w:rsidRPr="00E64805">
        <w:rPr>
          <w:rFonts w:cs="Arial"/>
          <w:sz w:val="18"/>
          <w:szCs w:val="18"/>
        </w:rPr>
        <w:t xml:space="preserve"> This chart does not include PMU Budget which is 3,5 MM USD.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E269" w14:textId="77777777" w:rsidR="00A63D46" w:rsidRDefault="00A63D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4F97" w14:textId="77777777" w:rsidR="00A63D46" w:rsidRDefault="00A63D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AFF8" w14:textId="77777777" w:rsidR="00A63D46" w:rsidRDefault="00A63D4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124D" w14:textId="77777777" w:rsidR="006C1AF6" w:rsidRDefault="006C1AF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1D79" w14:textId="77777777" w:rsidR="006C1AF6" w:rsidRDefault="006C1AF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F93" w14:textId="77777777" w:rsidR="006C1AF6" w:rsidRDefault="006C1AF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F207" w14:textId="77777777" w:rsidR="002B4C2F" w:rsidRDefault="002B4C2F">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E8D0" w14:textId="77777777" w:rsidR="002B4C2F" w:rsidRDefault="002B4C2F">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371" w14:textId="77777777" w:rsidR="002B4C2F" w:rsidRDefault="002B4C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4A8"/>
    <w:multiLevelType w:val="hybridMultilevel"/>
    <w:tmpl w:val="BC84C64E"/>
    <w:lvl w:ilvl="0" w:tplc="816A40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25D"/>
    <w:multiLevelType w:val="hybridMultilevel"/>
    <w:tmpl w:val="1C5C5CB6"/>
    <w:lvl w:ilvl="0" w:tplc="2E2A6AFA">
      <w:start w:val="1"/>
      <w:numFmt w:val="bullet"/>
      <w:lvlText w:val="•"/>
      <w:lvlJc w:val="left"/>
      <w:pPr>
        <w:tabs>
          <w:tab w:val="num" w:pos="720"/>
        </w:tabs>
        <w:ind w:left="720" w:hanging="360"/>
      </w:pPr>
      <w:rPr>
        <w:rFonts w:ascii="Arial" w:hAnsi="Arial" w:hint="default"/>
      </w:rPr>
    </w:lvl>
    <w:lvl w:ilvl="1" w:tplc="67BC1508" w:tentative="1">
      <w:start w:val="1"/>
      <w:numFmt w:val="bullet"/>
      <w:lvlText w:val="•"/>
      <w:lvlJc w:val="left"/>
      <w:pPr>
        <w:tabs>
          <w:tab w:val="num" w:pos="1440"/>
        </w:tabs>
        <w:ind w:left="1440" w:hanging="360"/>
      </w:pPr>
      <w:rPr>
        <w:rFonts w:ascii="Arial" w:hAnsi="Arial" w:hint="default"/>
      </w:rPr>
    </w:lvl>
    <w:lvl w:ilvl="2" w:tplc="2BA6C520" w:tentative="1">
      <w:start w:val="1"/>
      <w:numFmt w:val="bullet"/>
      <w:lvlText w:val="•"/>
      <w:lvlJc w:val="left"/>
      <w:pPr>
        <w:tabs>
          <w:tab w:val="num" w:pos="2160"/>
        </w:tabs>
        <w:ind w:left="2160" w:hanging="360"/>
      </w:pPr>
      <w:rPr>
        <w:rFonts w:ascii="Arial" w:hAnsi="Arial" w:hint="default"/>
      </w:rPr>
    </w:lvl>
    <w:lvl w:ilvl="3" w:tplc="18DACAA0" w:tentative="1">
      <w:start w:val="1"/>
      <w:numFmt w:val="bullet"/>
      <w:lvlText w:val="•"/>
      <w:lvlJc w:val="left"/>
      <w:pPr>
        <w:tabs>
          <w:tab w:val="num" w:pos="2880"/>
        </w:tabs>
        <w:ind w:left="2880" w:hanging="360"/>
      </w:pPr>
      <w:rPr>
        <w:rFonts w:ascii="Arial" w:hAnsi="Arial" w:hint="default"/>
      </w:rPr>
    </w:lvl>
    <w:lvl w:ilvl="4" w:tplc="DE36646A" w:tentative="1">
      <w:start w:val="1"/>
      <w:numFmt w:val="bullet"/>
      <w:lvlText w:val="•"/>
      <w:lvlJc w:val="left"/>
      <w:pPr>
        <w:tabs>
          <w:tab w:val="num" w:pos="3600"/>
        </w:tabs>
        <w:ind w:left="3600" w:hanging="360"/>
      </w:pPr>
      <w:rPr>
        <w:rFonts w:ascii="Arial" w:hAnsi="Arial" w:hint="default"/>
      </w:rPr>
    </w:lvl>
    <w:lvl w:ilvl="5" w:tplc="C688EDAA" w:tentative="1">
      <w:start w:val="1"/>
      <w:numFmt w:val="bullet"/>
      <w:lvlText w:val="•"/>
      <w:lvlJc w:val="left"/>
      <w:pPr>
        <w:tabs>
          <w:tab w:val="num" w:pos="4320"/>
        </w:tabs>
        <w:ind w:left="4320" w:hanging="360"/>
      </w:pPr>
      <w:rPr>
        <w:rFonts w:ascii="Arial" w:hAnsi="Arial" w:hint="default"/>
      </w:rPr>
    </w:lvl>
    <w:lvl w:ilvl="6" w:tplc="53FEB186" w:tentative="1">
      <w:start w:val="1"/>
      <w:numFmt w:val="bullet"/>
      <w:lvlText w:val="•"/>
      <w:lvlJc w:val="left"/>
      <w:pPr>
        <w:tabs>
          <w:tab w:val="num" w:pos="5040"/>
        </w:tabs>
        <w:ind w:left="5040" w:hanging="360"/>
      </w:pPr>
      <w:rPr>
        <w:rFonts w:ascii="Arial" w:hAnsi="Arial" w:hint="default"/>
      </w:rPr>
    </w:lvl>
    <w:lvl w:ilvl="7" w:tplc="FDC4EE6A" w:tentative="1">
      <w:start w:val="1"/>
      <w:numFmt w:val="bullet"/>
      <w:lvlText w:val="•"/>
      <w:lvlJc w:val="left"/>
      <w:pPr>
        <w:tabs>
          <w:tab w:val="num" w:pos="5760"/>
        </w:tabs>
        <w:ind w:left="5760" w:hanging="360"/>
      </w:pPr>
      <w:rPr>
        <w:rFonts w:ascii="Arial" w:hAnsi="Arial" w:hint="default"/>
      </w:rPr>
    </w:lvl>
    <w:lvl w:ilvl="8" w:tplc="0748BA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15DBC"/>
    <w:multiLevelType w:val="hybridMultilevel"/>
    <w:tmpl w:val="9BD6DCE0"/>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3" w15:restartNumberingAfterBreak="0">
    <w:nsid w:val="046D0358"/>
    <w:multiLevelType w:val="hybridMultilevel"/>
    <w:tmpl w:val="B0427532"/>
    <w:lvl w:ilvl="0" w:tplc="58D6919C">
      <w:start w:val="1"/>
      <w:numFmt w:val="decimal"/>
      <w:lvlText w:val="%1."/>
      <w:lvlJc w:val="left"/>
      <w:pPr>
        <w:ind w:left="360" w:hanging="360"/>
      </w:pPr>
      <w:rPr>
        <w:rFonts w:ascii="Arial" w:eastAsia="Times New Roman" w:hAnsi="Arial" w:cs="Arial"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5C20D1B"/>
    <w:multiLevelType w:val="hybridMultilevel"/>
    <w:tmpl w:val="BE7C424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8D1780F"/>
    <w:multiLevelType w:val="hybridMultilevel"/>
    <w:tmpl w:val="B94872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9DE2F1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C4153"/>
    <w:multiLevelType w:val="hybridMultilevel"/>
    <w:tmpl w:val="98F6ADB2"/>
    <w:lvl w:ilvl="0" w:tplc="280A0005">
      <w:start w:val="1"/>
      <w:numFmt w:val="bullet"/>
      <w:lvlText w:val=""/>
      <w:lvlJc w:val="left"/>
      <w:pPr>
        <w:ind w:left="360" w:hanging="360"/>
      </w:pPr>
      <w:rPr>
        <w:rFonts w:ascii="Wingdings" w:hAnsi="Wingdings"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8" w15:restartNumberingAfterBreak="0">
    <w:nsid w:val="0ADA088B"/>
    <w:multiLevelType w:val="hybridMultilevel"/>
    <w:tmpl w:val="B7DE39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0AFF0436"/>
    <w:multiLevelType w:val="hybridMultilevel"/>
    <w:tmpl w:val="94585E42"/>
    <w:lvl w:ilvl="0" w:tplc="3A4E1744">
      <w:start w:val="2"/>
      <w:numFmt w:val="bullet"/>
      <w:lvlText w:val="-"/>
      <w:lvlJc w:val="left"/>
      <w:pPr>
        <w:ind w:left="720" w:hanging="360"/>
      </w:pPr>
      <w:rPr>
        <w:rFonts w:ascii="Times New Roman" w:eastAsia="Times New Roman" w:hAnsi="Times New Roman" w:cs="Times New Roman" w:hint="default"/>
        <w:sz w:val="24"/>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0B1E28BA"/>
    <w:multiLevelType w:val="hybridMultilevel"/>
    <w:tmpl w:val="4AEA7F72"/>
    <w:lvl w:ilvl="0" w:tplc="D77405D0">
      <w:numFmt w:val="bullet"/>
      <w:lvlText w:val="-"/>
      <w:lvlJc w:val="left"/>
      <w:pPr>
        <w:ind w:left="468" w:hanging="360"/>
      </w:pPr>
      <w:rPr>
        <w:rFonts w:ascii="Arial" w:eastAsiaTheme="minorHAnsi" w:hAnsi="Arial" w:cs="Arial" w:hint="default"/>
      </w:rPr>
    </w:lvl>
    <w:lvl w:ilvl="1" w:tplc="0C0A0003" w:tentative="1">
      <w:start w:val="1"/>
      <w:numFmt w:val="bullet"/>
      <w:lvlText w:val="o"/>
      <w:lvlJc w:val="left"/>
      <w:pPr>
        <w:ind w:left="1188" w:hanging="360"/>
      </w:pPr>
      <w:rPr>
        <w:rFonts w:ascii="Courier New" w:hAnsi="Courier New" w:cs="Courier New" w:hint="default"/>
      </w:rPr>
    </w:lvl>
    <w:lvl w:ilvl="2" w:tplc="0C0A0005" w:tentative="1">
      <w:start w:val="1"/>
      <w:numFmt w:val="bullet"/>
      <w:lvlText w:val=""/>
      <w:lvlJc w:val="left"/>
      <w:pPr>
        <w:ind w:left="1908" w:hanging="360"/>
      </w:pPr>
      <w:rPr>
        <w:rFonts w:ascii="Wingdings" w:hAnsi="Wingdings" w:hint="default"/>
      </w:rPr>
    </w:lvl>
    <w:lvl w:ilvl="3" w:tplc="0C0A0001" w:tentative="1">
      <w:start w:val="1"/>
      <w:numFmt w:val="bullet"/>
      <w:lvlText w:val=""/>
      <w:lvlJc w:val="left"/>
      <w:pPr>
        <w:ind w:left="2628" w:hanging="360"/>
      </w:pPr>
      <w:rPr>
        <w:rFonts w:ascii="Symbol" w:hAnsi="Symbol" w:hint="default"/>
      </w:rPr>
    </w:lvl>
    <w:lvl w:ilvl="4" w:tplc="0C0A0003" w:tentative="1">
      <w:start w:val="1"/>
      <w:numFmt w:val="bullet"/>
      <w:lvlText w:val="o"/>
      <w:lvlJc w:val="left"/>
      <w:pPr>
        <w:ind w:left="3348" w:hanging="360"/>
      </w:pPr>
      <w:rPr>
        <w:rFonts w:ascii="Courier New" w:hAnsi="Courier New" w:cs="Courier New" w:hint="default"/>
      </w:rPr>
    </w:lvl>
    <w:lvl w:ilvl="5" w:tplc="0C0A0005" w:tentative="1">
      <w:start w:val="1"/>
      <w:numFmt w:val="bullet"/>
      <w:lvlText w:val=""/>
      <w:lvlJc w:val="left"/>
      <w:pPr>
        <w:ind w:left="4068" w:hanging="360"/>
      </w:pPr>
      <w:rPr>
        <w:rFonts w:ascii="Wingdings" w:hAnsi="Wingdings" w:hint="default"/>
      </w:rPr>
    </w:lvl>
    <w:lvl w:ilvl="6" w:tplc="0C0A0001" w:tentative="1">
      <w:start w:val="1"/>
      <w:numFmt w:val="bullet"/>
      <w:lvlText w:val=""/>
      <w:lvlJc w:val="left"/>
      <w:pPr>
        <w:ind w:left="4788" w:hanging="360"/>
      </w:pPr>
      <w:rPr>
        <w:rFonts w:ascii="Symbol" w:hAnsi="Symbol" w:hint="default"/>
      </w:rPr>
    </w:lvl>
    <w:lvl w:ilvl="7" w:tplc="0C0A0003" w:tentative="1">
      <w:start w:val="1"/>
      <w:numFmt w:val="bullet"/>
      <w:lvlText w:val="o"/>
      <w:lvlJc w:val="left"/>
      <w:pPr>
        <w:ind w:left="5508" w:hanging="360"/>
      </w:pPr>
      <w:rPr>
        <w:rFonts w:ascii="Courier New" w:hAnsi="Courier New" w:cs="Courier New" w:hint="default"/>
      </w:rPr>
    </w:lvl>
    <w:lvl w:ilvl="8" w:tplc="0C0A0005" w:tentative="1">
      <w:start w:val="1"/>
      <w:numFmt w:val="bullet"/>
      <w:lvlText w:val=""/>
      <w:lvlJc w:val="left"/>
      <w:pPr>
        <w:ind w:left="6228" w:hanging="360"/>
      </w:pPr>
      <w:rPr>
        <w:rFonts w:ascii="Wingdings" w:hAnsi="Wingdings" w:hint="default"/>
      </w:rPr>
    </w:lvl>
  </w:abstractNum>
  <w:abstractNum w:abstractNumId="11" w15:restartNumberingAfterBreak="0">
    <w:nsid w:val="10762FF6"/>
    <w:multiLevelType w:val="hybridMultilevel"/>
    <w:tmpl w:val="4B825118"/>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0F70E62"/>
    <w:multiLevelType w:val="hybridMultilevel"/>
    <w:tmpl w:val="A11C5A38"/>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3" w15:restartNumberingAfterBreak="0">
    <w:nsid w:val="117900CC"/>
    <w:multiLevelType w:val="hybridMultilevel"/>
    <w:tmpl w:val="8752E2A2"/>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41348F3"/>
    <w:multiLevelType w:val="hybridMultilevel"/>
    <w:tmpl w:val="10969054"/>
    <w:lvl w:ilvl="0" w:tplc="AB90368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4693A20"/>
    <w:multiLevelType w:val="hybridMultilevel"/>
    <w:tmpl w:val="29A62E76"/>
    <w:lvl w:ilvl="0" w:tplc="5ECE9094">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9F32AB0"/>
    <w:multiLevelType w:val="hybridMultilevel"/>
    <w:tmpl w:val="9E4A0F3E"/>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5A32ABA6">
      <w:numFmt w:val="bullet"/>
      <w:lvlText w:val="•"/>
      <w:lvlJc w:val="left"/>
      <w:pPr>
        <w:ind w:left="1220" w:hanging="360"/>
      </w:pPr>
      <w:rPr>
        <w:rFonts w:hint="default"/>
        <w:lang w:val="fr-FR" w:eastAsia="en-US" w:bidi="ar-SA"/>
      </w:rPr>
    </w:lvl>
    <w:lvl w:ilvl="2" w:tplc="8ED87A14">
      <w:numFmt w:val="bullet"/>
      <w:lvlText w:val="•"/>
      <w:lvlJc w:val="left"/>
      <w:pPr>
        <w:ind w:left="2077" w:hanging="360"/>
      </w:pPr>
      <w:rPr>
        <w:rFonts w:hint="default"/>
        <w:lang w:val="fr-FR" w:eastAsia="en-US" w:bidi="ar-SA"/>
      </w:rPr>
    </w:lvl>
    <w:lvl w:ilvl="3" w:tplc="E7A0A0F2">
      <w:numFmt w:val="bullet"/>
      <w:lvlText w:val="•"/>
      <w:lvlJc w:val="left"/>
      <w:pPr>
        <w:ind w:left="2933" w:hanging="360"/>
      </w:pPr>
      <w:rPr>
        <w:rFonts w:hint="default"/>
        <w:lang w:val="fr-FR" w:eastAsia="en-US" w:bidi="ar-SA"/>
      </w:rPr>
    </w:lvl>
    <w:lvl w:ilvl="4" w:tplc="E612D7CA">
      <w:numFmt w:val="bullet"/>
      <w:lvlText w:val="•"/>
      <w:lvlJc w:val="left"/>
      <w:pPr>
        <w:ind w:left="3790" w:hanging="360"/>
      </w:pPr>
      <w:rPr>
        <w:rFonts w:hint="default"/>
        <w:lang w:val="fr-FR" w:eastAsia="en-US" w:bidi="ar-SA"/>
      </w:rPr>
    </w:lvl>
    <w:lvl w:ilvl="5" w:tplc="D8B05A8C">
      <w:numFmt w:val="bullet"/>
      <w:lvlText w:val="•"/>
      <w:lvlJc w:val="left"/>
      <w:pPr>
        <w:ind w:left="4647" w:hanging="360"/>
      </w:pPr>
      <w:rPr>
        <w:rFonts w:hint="default"/>
        <w:lang w:val="fr-FR" w:eastAsia="en-US" w:bidi="ar-SA"/>
      </w:rPr>
    </w:lvl>
    <w:lvl w:ilvl="6" w:tplc="4748FFBE">
      <w:numFmt w:val="bullet"/>
      <w:lvlText w:val="•"/>
      <w:lvlJc w:val="left"/>
      <w:pPr>
        <w:ind w:left="5503" w:hanging="360"/>
      </w:pPr>
      <w:rPr>
        <w:rFonts w:hint="default"/>
        <w:lang w:val="fr-FR" w:eastAsia="en-US" w:bidi="ar-SA"/>
      </w:rPr>
    </w:lvl>
    <w:lvl w:ilvl="7" w:tplc="BF8A9702">
      <w:numFmt w:val="bullet"/>
      <w:lvlText w:val="•"/>
      <w:lvlJc w:val="left"/>
      <w:pPr>
        <w:ind w:left="6360" w:hanging="360"/>
      </w:pPr>
      <w:rPr>
        <w:rFonts w:hint="default"/>
        <w:lang w:val="fr-FR" w:eastAsia="en-US" w:bidi="ar-SA"/>
      </w:rPr>
    </w:lvl>
    <w:lvl w:ilvl="8" w:tplc="D136B7B0">
      <w:numFmt w:val="bullet"/>
      <w:lvlText w:val="•"/>
      <w:lvlJc w:val="left"/>
      <w:pPr>
        <w:ind w:left="7217" w:hanging="360"/>
      </w:pPr>
      <w:rPr>
        <w:rFonts w:hint="default"/>
        <w:lang w:val="fr-FR" w:eastAsia="en-US" w:bidi="ar-SA"/>
      </w:rPr>
    </w:lvl>
  </w:abstractNum>
  <w:abstractNum w:abstractNumId="17" w15:restartNumberingAfterBreak="0">
    <w:nsid w:val="1CD310F3"/>
    <w:multiLevelType w:val="multilevel"/>
    <w:tmpl w:val="9E0224B0"/>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15686E"/>
    <w:multiLevelType w:val="multilevel"/>
    <w:tmpl w:val="2A382A5E"/>
    <w:lvl w:ilvl="0">
      <w:start w:val="3"/>
      <w:numFmt w:val="decimal"/>
      <w:lvlText w:val="%1"/>
      <w:lvlJc w:val="left"/>
      <w:pPr>
        <w:ind w:left="720" w:hanging="579"/>
      </w:pPr>
      <w:rPr>
        <w:rFonts w:hint="default"/>
        <w:lang w:val="en-US" w:eastAsia="en-US" w:bidi="ar-SA"/>
      </w:rPr>
    </w:lvl>
    <w:lvl w:ilvl="1">
      <w:start w:val="1"/>
      <w:numFmt w:val="decimal"/>
      <w:lvlText w:val="%1.%2"/>
      <w:lvlJc w:val="left"/>
      <w:pPr>
        <w:ind w:left="720" w:hanging="579"/>
      </w:pPr>
      <w:rPr>
        <w:rFonts w:ascii="Carlito" w:eastAsia="Carlito" w:hAnsi="Carlito" w:cs="Carlito" w:hint="default"/>
        <w:spacing w:val="-5"/>
        <w:w w:val="100"/>
        <w:sz w:val="30"/>
        <w:szCs w:val="30"/>
        <w:lang w:val="en-US" w:eastAsia="en-US" w:bidi="ar-SA"/>
      </w:rPr>
    </w:lvl>
    <w:lvl w:ilvl="2">
      <w:numFmt w:val="bullet"/>
      <w:lvlText w:val="•"/>
      <w:lvlJc w:val="left"/>
      <w:pPr>
        <w:ind w:left="2333" w:hanging="579"/>
      </w:pPr>
      <w:rPr>
        <w:rFonts w:hint="default"/>
        <w:lang w:val="en-US" w:eastAsia="en-US" w:bidi="ar-SA"/>
      </w:rPr>
    </w:lvl>
    <w:lvl w:ilvl="3">
      <w:numFmt w:val="bullet"/>
      <w:lvlText w:val="•"/>
      <w:lvlJc w:val="left"/>
      <w:pPr>
        <w:ind w:left="3139" w:hanging="579"/>
      </w:pPr>
      <w:rPr>
        <w:rFonts w:hint="default"/>
        <w:lang w:val="en-US" w:eastAsia="en-US" w:bidi="ar-SA"/>
      </w:rPr>
    </w:lvl>
    <w:lvl w:ilvl="4">
      <w:numFmt w:val="bullet"/>
      <w:lvlText w:val="•"/>
      <w:lvlJc w:val="left"/>
      <w:pPr>
        <w:ind w:left="3946" w:hanging="579"/>
      </w:pPr>
      <w:rPr>
        <w:rFonts w:hint="default"/>
        <w:lang w:val="en-US" w:eastAsia="en-US" w:bidi="ar-SA"/>
      </w:rPr>
    </w:lvl>
    <w:lvl w:ilvl="5">
      <w:numFmt w:val="bullet"/>
      <w:lvlText w:val="•"/>
      <w:lvlJc w:val="left"/>
      <w:pPr>
        <w:ind w:left="4753" w:hanging="579"/>
      </w:pPr>
      <w:rPr>
        <w:rFonts w:hint="default"/>
        <w:lang w:val="en-US" w:eastAsia="en-US" w:bidi="ar-SA"/>
      </w:rPr>
    </w:lvl>
    <w:lvl w:ilvl="6">
      <w:numFmt w:val="bullet"/>
      <w:lvlText w:val="•"/>
      <w:lvlJc w:val="left"/>
      <w:pPr>
        <w:ind w:left="5559" w:hanging="579"/>
      </w:pPr>
      <w:rPr>
        <w:rFonts w:hint="default"/>
        <w:lang w:val="en-US" w:eastAsia="en-US" w:bidi="ar-SA"/>
      </w:rPr>
    </w:lvl>
    <w:lvl w:ilvl="7">
      <w:numFmt w:val="bullet"/>
      <w:lvlText w:val="•"/>
      <w:lvlJc w:val="left"/>
      <w:pPr>
        <w:ind w:left="6366" w:hanging="579"/>
      </w:pPr>
      <w:rPr>
        <w:rFonts w:hint="default"/>
        <w:lang w:val="en-US" w:eastAsia="en-US" w:bidi="ar-SA"/>
      </w:rPr>
    </w:lvl>
    <w:lvl w:ilvl="8">
      <w:numFmt w:val="bullet"/>
      <w:lvlText w:val="•"/>
      <w:lvlJc w:val="left"/>
      <w:pPr>
        <w:ind w:left="7173" w:hanging="579"/>
      </w:pPr>
      <w:rPr>
        <w:rFonts w:hint="default"/>
        <w:lang w:val="en-US" w:eastAsia="en-US" w:bidi="ar-SA"/>
      </w:rPr>
    </w:lvl>
  </w:abstractNum>
  <w:abstractNum w:abstractNumId="19" w15:restartNumberingAfterBreak="0">
    <w:nsid w:val="1D76663A"/>
    <w:multiLevelType w:val="hybridMultilevel"/>
    <w:tmpl w:val="F4B67220"/>
    <w:lvl w:ilvl="0" w:tplc="B70E0A24">
      <w:start w:val="1"/>
      <w:numFmt w:val="lowerLetter"/>
      <w:lvlText w:val="%1)"/>
      <w:lvlJc w:val="left"/>
      <w:pPr>
        <w:ind w:left="1056" w:hanging="360"/>
      </w:pPr>
      <w:rPr>
        <w:rFonts w:ascii="Calibri" w:eastAsia="Calibri" w:hAnsi="Calibri" w:cs="Calibri" w:hint="default"/>
        <w:spacing w:val="-1"/>
        <w:w w:val="100"/>
        <w:sz w:val="22"/>
        <w:szCs w:val="22"/>
        <w:lang w:val="fr-FR" w:eastAsia="en-US" w:bidi="ar-SA"/>
      </w:rPr>
    </w:lvl>
    <w:lvl w:ilvl="1" w:tplc="807A6FAC">
      <w:numFmt w:val="bullet"/>
      <w:lvlText w:val="•"/>
      <w:lvlJc w:val="left"/>
      <w:pPr>
        <w:ind w:left="1936" w:hanging="360"/>
      </w:pPr>
      <w:rPr>
        <w:rFonts w:hint="default"/>
        <w:lang w:val="fr-FR" w:eastAsia="en-US" w:bidi="ar-SA"/>
      </w:rPr>
    </w:lvl>
    <w:lvl w:ilvl="2" w:tplc="90244BA6">
      <w:numFmt w:val="bullet"/>
      <w:lvlText w:val="•"/>
      <w:lvlJc w:val="left"/>
      <w:pPr>
        <w:ind w:left="2813" w:hanging="360"/>
      </w:pPr>
      <w:rPr>
        <w:rFonts w:hint="default"/>
        <w:lang w:val="fr-FR" w:eastAsia="en-US" w:bidi="ar-SA"/>
      </w:rPr>
    </w:lvl>
    <w:lvl w:ilvl="3" w:tplc="9244E610">
      <w:numFmt w:val="bullet"/>
      <w:lvlText w:val="•"/>
      <w:lvlJc w:val="left"/>
      <w:pPr>
        <w:ind w:left="3689" w:hanging="360"/>
      </w:pPr>
      <w:rPr>
        <w:rFonts w:hint="default"/>
        <w:lang w:val="fr-FR" w:eastAsia="en-US" w:bidi="ar-SA"/>
      </w:rPr>
    </w:lvl>
    <w:lvl w:ilvl="4" w:tplc="9ACC18F0">
      <w:numFmt w:val="bullet"/>
      <w:lvlText w:val="•"/>
      <w:lvlJc w:val="left"/>
      <w:pPr>
        <w:ind w:left="4566" w:hanging="360"/>
      </w:pPr>
      <w:rPr>
        <w:rFonts w:hint="default"/>
        <w:lang w:val="fr-FR" w:eastAsia="en-US" w:bidi="ar-SA"/>
      </w:rPr>
    </w:lvl>
    <w:lvl w:ilvl="5" w:tplc="FE48C190">
      <w:numFmt w:val="bullet"/>
      <w:lvlText w:val="•"/>
      <w:lvlJc w:val="left"/>
      <w:pPr>
        <w:ind w:left="5443" w:hanging="360"/>
      </w:pPr>
      <w:rPr>
        <w:rFonts w:hint="default"/>
        <w:lang w:val="fr-FR" w:eastAsia="en-US" w:bidi="ar-SA"/>
      </w:rPr>
    </w:lvl>
    <w:lvl w:ilvl="6" w:tplc="47B0B29C">
      <w:numFmt w:val="bullet"/>
      <w:lvlText w:val="•"/>
      <w:lvlJc w:val="left"/>
      <w:pPr>
        <w:ind w:left="6319" w:hanging="360"/>
      </w:pPr>
      <w:rPr>
        <w:rFonts w:hint="default"/>
        <w:lang w:val="fr-FR" w:eastAsia="en-US" w:bidi="ar-SA"/>
      </w:rPr>
    </w:lvl>
    <w:lvl w:ilvl="7" w:tplc="81065372">
      <w:numFmt w:val="bullet"/>
      <w:lvlText w:val="•"/>
      <w:lvlJc w:val="left"/>
      <w:pPr>
        <w:ind w:left="7196" w:hanging="360"/>
      </w:pPr>
      <w:rPr>
        <w:rFonts w:hint="default"/>
        <w:lang w:val="fr-FR" w:eastAsia="en-US" w:bidi="ar-SA"/>
      </w:rPr>
    </w:lvl>
    <w:lvl w:ilvl="8" w:tplc="D25492EE">
      <w:numFmt w:val="bullet"/>
      <w:lvlText w:val="•"/>
      <w:lvlJc w:val="left"/>
      <w:pPr>
        <w:ind w:left="8073" w:hanging="360"/>
      </w:pPr>
      <w:rPr>
        <w:rFonts w:hint="default"/>
        <w:lang w:val="fr-FR" w:eastAsia="en-US" w:bidi="ar-SA"/>
      </w:rPr>
    </w:lvl>
  </w:abstractNum>
  <w:abstractNum w:abstractNumId="20" w15:restartNumberingAfterBreak="0">
    <w:nsid w:val="1EC63978"/>
    <w:multiLevelType w:val="hybridMultilevel"/>
    <w:tmpl w:val="F1B8CE80"/>
    <w:lvl w:ilvl="0" w:tplc="816A40B2">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F94E6B"/>
    <w:multiLevelType w:val="hybridMultilevel"/>
    <w:tmpl w:val="3184F6C2"/>
    <w:lvl w:ilvl="0" w:tplc="3A4E1744">
      <w:start w:val="2"/>
      <w:numFmt w:val="bullet"/>
      <w:lvlText w:val="-"/>
      <w:lvlJc w:val="left"/>
      <w:pPr>
        <w:ind w:left="361" w:hanging="360"/>
      </w:pPr>
      <w:rPr>
        <w:rFonts w:ascii="Times New Roman" w:eastAsia="Times New Roman" w:hAnsi="Times New Roman" w:cs="Times New Roman" w:hint="default"/>
        <w:sz w:val="24"/>
      </w:rPr>
    </w:lvl>
    <w:lvl w:ilvl="1" w:tplc="380A0003" w:tentative="1">
      <w:start w:val="1"/>
      <w:numFmt w:val="bullet"/>
      <w:lvlText w:val="o"/>
      <w:lvlJc w:val="left"/>
      <w:pPr>
        <w:ind w:left="1081" w:hanging="360"/>
      </w:pPr>
      <w:rPr>
        <w:rFonts w:ascii="Courier New" w:hAnsi="Courier New" w:cs="Courier New" w:hint="default"/>
      </w:rPr>
    </w:lvl>
    <w:lvl w:ilvl="2" w:tplc="380A0005" w:tentative="1">
      <w:start w:val="1"/>
      <w:numFmt w:val="bullet"/>
      <w:lvlText w:val=""/>
      <w:lvlJc w:val="left"/>
      <w:pPr>
        <w:ind w:left="1801" w:hanging="360"/>
      </w:pPr>
      <w:rPr>
        <w:rFonts w:ascii="Wingdings" w:hAnsi="Wingdings" w:hint="default"/>
      </w:rPr>
    </w:lvl>
    <w:lvl w:ilvl="3" w:tplc="380A0001" w:tentative="1">
      <w:start w:val="1"/>
      <w:numFmt w:val="bullet"/>
      <w:lvlText w:val=""/>
      <w:lvlJc w:val="left"/>
      <w:pPr>
        <w:ind w:left="2521" w:hanging="360"/>
      </w:pPr>
      <w:rPr>
        <w:rFonts w:ascii="Symbol" w:hAnsi="Symbol" w:hint="default"/>
      </w:rPr>
    </w:lvl>
    <w:lvl w:ilvl="4" w:tplc="380A0003" w:tentative="1">
      <w:start w:val="1"/>
      <w:numFmt w:val="bullet"/>
      <w:lvlText w:val="o"/>
      <w:lvlJc w:val="left"/>
      <w:pPr>
        <w:ind w:left="3241" w:hanging="360"/>
      </w:pPr>
      <w:rPr>
        <w:rFonts w:ascii="Courier New" w:hAnsi="Courier New" w:cs="Courier New" w:hint="default"/>
      </w:rPr>
    </w:lvl>
    <w:lvl w:ilvl="5" w:tplc="380A0005" w:tentative="1">
      <w:start w:val="1"/>
      <w:numFmt w:val="bullet"/>
      <w:lvlText w:val=""/>
      <w:lvlJc w:val="left"/>
      <w:pPr>
        <w:ind w:left="3961" w:hanging="360"/>
      </w:pPr>
      <w:rPr>
        <w:rFonts w:ascii="Wingdings" w:hAnsi="Wingdings" w:hint="default"/>
      </w:rPr>
    </w:lvl>
    <w:lvl w:ilvl="6" w:tplc="380A0001" w:tentative="1">
      <w:start w:val="1"/>
      <w:numFmt w:val="bullet"/>
      <w:lvlText w:val=""/>
      <w:lvlJc w:val="left"/>
      <w:pPr>
        <w:ind w:left="4681" w:hanging="360"/>
      </w:pPr>
      <w:rPr>
        <w:rFonts w:ascii="Symbol" w:hAnsi="Symbol" w:hint="default"/>
      </w:rPr>
    </w:lvl>
    <w:lvl w:ilvl="7" w:tplc="380A0003" w:tentative="1">
      <w:start w:val="1"/>
      <w:numFmt w:val="bullet"/>
      <w:lvlText w:val="o"/>
      <w:lvlJc w:val="left"/>
      <w:pPr>
        <w:ind w:left="5401" w:hanging="360"/>
      </w:pPr>
      <w:rPr>
        <w:rFonts w:ascii="Courier New" w:hAnsi="Courier New" w:cs="Courier New" w:hint="default"/>
      </w:rPr>
    </w:lvl>
    <w:lvl w:ilvl="8" w:tplc="380A0005" w:tentative="1">
      <w:start w:val="1"/>
      <w:numFmt w:val="bullet"/>
      <w:lvlText w:val=""/>
      <w:lvlJc w:val="left"/>
      <w:pPr>
        <w:ind w:left="6121" w:hanging="360"/>
      </w:pPr>
      <w:rPr>
        <w:rFonts w:ascii="Wingdings" w:hAnsi="Wingdings" w:hint="default"/>
      </w:rPr>
    </w:lvl>
  </w:abstractNum>
  <w:abstractNum w:abstractNumId="22" w15:restartNumberingAfterBreak="0">
    <w:nsid w:val="221652F9"/>
    <w:multiLevelType w:val="hybridMultilevel"/>
    <w:tmpl w:val="788C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F364D"/>
    <w:multiLevelType w:val="hybridMultilevel"/>
    <w:tmpl w:val="ED2E8D7C"/>
    <w:lvl w:ilvl="0" w:tplc="629EAE86">
      <w:start w:val="1"/>
      <w:numFmt w:val="lowerLetter"/>
      <w:lvlText w:val="%1)"/>
      <w:lvlJc w:val="left"/>
      <w:pPr>
        <w:ind w:left="1056" w:hanging="360"/>
      </w:pPr>
      <w:rPr>
        <w:rFonts w:ascii="Calibri" w:eastAsia="Calibri" w:hAnsi="Calibri" w:cs="Calibri" w:hint="default"/>
        <w:spacing w:val="-1"/>
        <w:w w:val="100"/>
        <w:sz w:val="22"/>
        <w:szCs w:val="22"/>
        <w:lang w:val="fr-FR" w:eastAsia="en-US" w:bidi="ar-SA"/>
      </w:rPr>
    </w:lvl>
    <w:lvl w:ilvl="1" w:tplc="BC34AF38">
      <w:numFmt w:val="bullet"/>
      <w:lvlText w:val="•"/>
      <w:lvlJc w:val="left"/>
      <w:pPr>
        <w:ind w:left="1936" w:hanging="360"/>
      </w:pPr>
      <w:rPr>
        <w:rFonts w:hint="default"/>
        <w:lang w:val="fr-FR" w:eastAsia="en-US" w:bidi="ar-SA"/>
      </w:rPr>
    </w:lvl>
    <w:lvl w:ilvl="2" w:tplc="8C04F23A">
      <w:numFmt w:val="bullet"/>
      <w:lvlText w:val="•"/>
      <w:lvlJc w:val="left"/>
      <w:pPr>
        <w:ind w:left="2813" w:hanging="360"/>
      </w:pPr>
      <w:rPr>
        <w:rFonts w:hint="default"/>
        <w:lang w:val="fr-FR" w:eastAsia="en-US" w:bidi="ar-SA"/>
      </w:rPr>
    </w:lvl>
    <w:lvl w:ilvl="3" w:tplc="38B62528">
      <w:numFmt w:val="bullet"/>
      <w:lvlText w:val="•"/>
      <w:lvlJc w:val="left"/>
      <w:pPr>
        <w:ind w:left="3689" w:hanging="360"/>
      </w:pPr>
      <w:rPr>
        <w:rFonts w:hint="default"/>
        <w:lang w:val="fr-FR" w:eastAsia="en-US" w:bidi="ar-SA"/>
      </w:rPr>
    </w:lvl>
    <w:lvl w:ilvl="4" w:tplc="C658B8FC">
      <w:numFmt w:val="bullet"/>
      <w:lvlText w:val="•"/>
      <w:lvlJc w:val="left"/>
      <w:pPr>
        <w:ind w:left="4566" w:hanging="360"/>
      </w:pPr>
      <w:rPr>
        <w:rFonts w:hint="default"/>
        <w:lang w:val="fr-FR" w:eastAsia="en-US" w:bidi="ar-SA"/>
      </w:rPr>
    </w:lvl>
    <w:lvl w:ilvl="5" w:tplc="1C789716">
      <w:numFmt w:val="bullet"/>
      <w:lvlText w:val="•"/>
      <w:lvlJc w:val="left"/>
      <w:pPr>
        <w:ind w:left="5443" w:hanging="360"/>
      </w:pPr>
      <w:rPr>
        <w:rFonts w:hint="default"/>
        <w:lang w:val="fr-FR" w:eastAsia="en-US" w:bidi="ar-SA"/>
      </w:rPr>
    </w:lvl>
    <w:lvl w:ilvl="6" w:tplc="D70A1A3A">
      <w:numFmt w:val="bullet"/>
      <w:lvlText w:val="•"/>
      <w:lvlJc w:val="left"/>
      <w:pPr>
        <w:ind w:left="6319" w:hanging="360"/>
      </w:pPr>
      <w:rPr>
        <w:rFonts w:hint="default"/>
        <w:lang w:val="fr-FR" w:eastAsia="en-US" w:bidi="ar-SA"/>
      </w:rPr>
    </w:lvl>
    <w:lvl w:ilvl="7" w:tplc="94864F38">
      <w:numFmt w:val="bullet"/>
      <w:lvlText w:val="•"/>
      <w:lvlJc w:val="left"/>
      <w:pPr>
        <w:ind w:left="7196" w:hanging="360"/>
      </w:pPr>
      <w:rPr>
        <w:rFonts w:hint="default"/>
        <w:lang w:val="fr-FR" w:eastAsia="en-US" w:bidi="ar-SA"/>
      </w:rPr>
    </w:lvl>
    <w:lvl w:ilvl="8" w:tplc="AF643A6E">
      <w:numFmt w:val="bullet"/>
      <w:lvlText w:val="•"/>
      <w:lvlJc w:val="left"/>
      <w:pPr>
        <w:ind w:left="8073" w:hanging="360"/>
      </w:pPr>
      <w:rPr>
        <w:rFonts w:hint="default"/>
        <w:lang w:val="fr-FR" w:eastAsia="en-US" w:bidi="ar-SA"/>
      </w:rPr>
    </w:lvl>
  </w:abstractNum>
  <w:abstractNum w:abstractNumId="24" w15:restartNumberingAfterBreak="0">
    <w:nsid w:val="240F0997"/>
    <w:multiLevelType w:val="hybridMultilevel"/>
    <w:tmpl w:val="255CB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5502A61"/>
    <w:multiLevelType w:val="hybridMultilevel"/>
    <w:tmpl w:val="B28ACEE2"/>
    <w:lvl w:ilvl="0" w:tplc="280A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5E171D8"/>
    <w:multiLevelType w:val="hybridMultilevel"/>
    <w:tmpl w:val="9830EC14"/>
    <w:lvl w:ilvl="0" w:tplc="AB90368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9A312AC"/>
    <w:multiLevelType w:val="hybridMultilevel"/>
    <w:tmpl w:val="AEFCAF8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D77405D0">
      <w:numFmt w:val="bullet"/>
      <w:lvlText w:val="-"/>
      <w:lvlJc w:val="left"/>
      <w:pPr>
        <w:ind w:left="2520" w:hanging="720"/>
      </w:pPr>
      <w:rPr>
        <w:rFonts w:ascii="Arial" w:eastAsiaTheme="minorHAnsi" w:hAnsi="Arial" w:cs="Arial" w:hint="default"/>
      </w:rPr>
    </w:lvl>
    <w:lvl w:ilvl="3" w:tplc="3E1C1262">
      <w:numFmt w:val="bullet"/>
      <w:lvlText w:val="•"/>
      <w:lvlJc w:val="left"/>
      <w:pPr>
        <w:ind w:left="3240" w:hanging="720"/>
      </w:pPr>
      <w:rPr>
        <w:rFonts w:ascii="Arial" w:eastAsiaTheme="minorHAnsi" w:hAnsi="Arial" w:cs="Aria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9D45385"/>
    <w:multiLevelType w:val="hybridMultilevel"/>
    <w:tmpl w:val="BBAAE99C"/>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2E4A7C73"/>
    <w:multiLevelType w:val="hybridMultilevel"/>
    <w:tmpl w:val="4D2611D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AB903684">
      <w:start w:val="1"/>
      <w:numFmt w:val="bullet"/>
      <w:lvlText w:val="-"/>
      <w:lvlJc w:val="left"/>
      <w:pPr>
        <w:ind w:left="2160" w:hanging="720"/>
      </w:pPr>
      <w:rPr>
        <w:rFonts w:ascii="Arial" w:hAnsi="Arial"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EBB0043"/>
    <w:multiLevelType w:val="hybridMultilevel"/>
    <w:tmpl w:val="48D81226"/>
    <w:lvl w:ilvl="0" w:tplc="1794C6E4">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C26F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AE5151"/>
    <w:multiLevelType w:val="hybridMultilevel"/>
    <w:tmpl w:val="D08C2318"/>
    <w:lvl w:ilvl="0" w:tplc="816A40B2">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D77405D0">
      <w:numFmt w:val="bullet"/>
      <w:lvlText w:val="-"/>
      <w:lvlJc w:val="left"/>
      <w:pPr>
        <w:ind w:left="2520" w:hanging="720"/>
      </w:pPr>
      <w:rPr>
        <w:rFonts w:ascii="Arial" w:eastAsiaTheme="minorHAnsi" w:hAnsi="Arial" w:cs="Arial" w:hint="default"/>
      </w:rPr>
    </w:lvl>
    <w:lvl w:ilvl="3" w:tplc="3E1C1262">
      <w:numFmt w:val="bullet"/>
      <w:lvlText w:val="•"/>
      <w:lvlJc w:val="left"/>
      <w:pPr>
        <w:ind w:left="3240" w:hanging="720"/>
      </w:pPr>
      <w:rPr>
        <w:rFonts w:ascii="Arial" w:eastAsiaTheme="minorHAnsi" w:hAnsi="Arial" w:cs="Aria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5D14222"/>
    <w:multiLevelType w:val="hybridMultilevel"/>
    <w:tmpl w:val="C5364BF2"/>
    <w:lvl w:ilvl="0" w:tplc="140690C4">
      <w:start w:val="1"/>
      <w:numFmt w:val="upperRoman"/>
      <w:lvlText w:val="%1."/>
      <w:lvlJc w:val="left"/>
      <w:pPr>
        <w:ind w:left="720" w:hanging="360"/>
      </w:p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34" w15:restartNumberingAfterBreak="0">
    <w:nsid w:val="3CE00D17"/>
    <w:multiLevelType w:val="hybridMultilevel"/>
    <w:tmpl w:val="F3CC61F8"/>
    <w:lvl w:ilvl="0" w:tplc="AB903684">
      <w:start w:val="1"/>
      <w:numFmt w:val="bullet"/>
      <w:lvlText w:val="-"/>
      <w:lvlJc w:val="left"/>
      <w:pPr>
        <w:ind w:left="360" w:hanging="360"/>
      </w:pPr>
      <w:rPr>
        <w:rFonts w:ascii="Arial" w:hAnsi="Arial" w:hint="default"/>
      </w:rPr>
    </w:lvl>
    <w:lvl w:ilvl="1" w:tplc="20000003">
      <w:start w:val="1"/>
      <w:numFmt w:val="bullet"/>
      <w:lvlText w:val="o"/>
      <w:lvlJc w:val="left"/>
      <w:pPr>
        <w:ind w:left="1080" w:hanging="360"/>
      </w:pPr>
      <w:rPr>
        <w:rFonts w:ascii="Courier New" w:hAnsi="Courier New" w:cs="Courier New" w:hint="default"/>
      </w:rPr>
    </w:lvl>
    <w:lvl w:ilvl="2" w:tplc="AB903684">
      <w:start w:val="1"/>
      <w:numFmt w:val="bullet"/>
      <w:lvlText w:val="-"/>
      <w:lvlJc w:val="left"/>
      <w:pPr>
        <w:ind w:left="2160" w:hanging="720"/>
      </w:pPr>
      <w:rPr>
        <w:rFonts w:ascii="Arial" w:hAnsi="Arial"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3D1B7297"/>
    <w:multiLevelType w:val="hybridMultilevel"/>
    <w:tmpl w:val="A9686EDE"/>
    <w:lvl w:ilvl="0" w:tplc="2B7A2B46">
      <w:start w:val="1"/>
      <w:numFmt w:val="upperLetter"/>
      <w:pStyle w:val="Ttulo2"/>
      <w:lvlText w:val="%1."/>
      <w:lvlJc w:val="left"/>
      <w:rPr>
        <w:rFonts w:hint="default"/>
        <w:b/>
        <w:bCs w:val="0"/>
        <w:i w:val="0"/>
        <w:iCs w:val="0"/>
        <w:caps w:val="0"/>
        <w:smallCaps w:val="0"/>
        <w:strike w:val="0"/>
        <w:dstrike w:val="0"/>
        <w:vanish w:val="0"/>
        <w:color w:val="FFFFFF" w:themeColor="background1"/>
        <w:spacing w:val="0"/>
        <w:kern w:val="0"/>
        <w:position w:val="0"/>
        <w:u w:val="none"/>
        <w:effect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1E0FE9"/>
    <w:multiLevelType w:val="hybridMultilevel"/>
    <w:tmpl w:val="0BE0F92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11E68D5"/>
    <w:multiLevelType w:val="hybridMultilevel"/>
    <w:tmpl w:val="000E65E8"/>
    <w:lvl w:ilvl="0" w:tplc="3A4E1744">
      <w:start w:val="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24629FC"/>
    <w:multiLevelType w:val="hybridMultilevel"/>
    <w:tmpl w:val="AEA6C2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27556F3"/>
    <w:multiLevelType w:val="hybridMultilevel"/>
    <w:tmpl w:val="DAE06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2EB6689"/>
    <w:multiLevelType w:val="hybridMultilevel"/>
    <w:tmpl w:val="C3CC08C6"/>
    <w:lvl w:ilvl="0" w:tplc="3A4E1744">
      <w:start w:val="2"/>
      <w:numFmt w:val="bullet"/>
      <w:lvlText w:val="-"/>
      <w:lvlJc w:val="left"/>
      <w:pPr>
        <w:ind w:left="360" w:hanging="360"/>
      </w:pPr>
      <w:rPr>
        <w:rFonts w:ascii="Times New Roman" w:eastAsia="Times New Roman" w:hAnsi="Times New Roman" w:cs="Times New Roman"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431A11B6"/>
    <w:multiLevelType w:val="hybridMultilevel"/>
    <w:tmpl w:val="61F8C598"/>
    <w:lvl w:ilvl="0" w:tplc="040A0001">
      <w:start w:val="1"/>
      <w:numFmt w:val="bullet"/>
      <w:lvlText w:val=""/>
      <w:lvlJc w:val="left"/>
      <w:pPr>
        <w:ind w:left="720" w:hanging="360"/>
      </w:pPr>
      <w:rPr>
        <w:rFonts w:ascii="Symbol" w:hAnsi="Symbol" w:hint="default"/>
      </w:rPr>
    </w:lvl>
    <w:lvl w:ilvl="1" w:tplc="F8103930">
      <w:numFmt w:val="bullet"/>
      <w:lvlText w:val="-"/>
      <w:lvlJc w:val="left"/>
      <w:pPr>
        <w:ind w:left="1440" w:hanging="360"/>
      </w:pPr>
      <w:rPr>
        <w:rFonts w:ascii="Century Gothic" w:eastAsia="Times New Roman" w:hAnsi="Century Gothic" w:cs="Mang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43EE5414"/>
    <w:multiLevelType w:val="hybridMultilevel"/>
    <w:tmpl w:val="7D465FAE"/>
    <w:lvl w:ilvl="0" w:tplc="280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5144FE8"/>
    <w:multiLevelType w:val="hybridMultilevel"/>
    <w:tmpl w:val="77EE7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96449D"/>
    <w:multiLevelType w:val="hybridMultilevel"/>
    <w:tmpl w:val="DA8839D4"/>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46655B18"/>
    <w:multiLevelType w:val="hybridMultilevel"/>
    <w:tmpl w:val="E2AC96B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46B55C74"/>
    <w:multiLevelType w:val="hybridMultilevel"/>
    <w:tmpl w:val="0C962506"/>
    <w:lvl w:ilvl="0" w:tplc="3A4E1744">
      <w:start w:val="2"/>
      <w:numFmt w:val="bullet"/>
      <w:lvlText w:val="-"/>
      <w:lvlJc w:val="left"/>
      <w:pPr>
        <w:ind w:left="360" w:hanging="360"/>
      </w:pPr>
      <w:rPr>
        <w:rFonts w:ascii="Times New Roman" w:eastAsia="Times New Roman" w:hAnsi="Times New Roman" w:cs="Times New Roman" w:hint="default"/>
        <w:sz w:val="24"/>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47" w15:restartNumberingAfterBreak="0">
    <w:nsid w:val="4F367FFC"/>
    <w:multiLevelType w:val="hybridMultilevel"/>
    <w:tmpl w:val="8B0602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2722137"/>
    <w:multiLevelType w:val="hybridMultilevel"/>
    <w:tmpl w:val="0CE615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528E5861"/>
    <w:multiLevelType w:val="hybridMultilevel"/>
    <w:tmpl w:val="71683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3053B43"/>
    <w:multiLevelType w:val="hybridMultilevel"/>
    <w:tmpl w:val="59E2A930"/>
    <w:lvl w:ilvl="0" w:tplc="380A0019">
      <w:start w:val="1"/>
      <w:numFmt w:val="lowerLetter"/>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1" w15:restartNumberingAfterBreak="0">
    <w:nsid w:val="53743E67"/>
    <w:multiLevelType w:val="hybridMultilevel"/>
    <w:tmpl w:val="5A00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4E471A1"/>
    <w:multiLevelType w:val="hybridMultilevel"/>
    <w:tmpl w:val="6EA2D9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552F32E1"/>
    <w:multiLevelType w:val="hybridMultilevel"/>
    <w:tmpl w:val="53181BBC"/>
    <w:lvl w:ilvl="0" w:tplc="6408E8E6">
      <w:start w:val="1"/>
      <w:numFmt w:val="decimal"/>
      <w:lvlText w:val="%1."/>
      <w:lvlJc w:val="left"/>
      <w:pPr>
        <w:ind w:left="360" w:hanging="360"/>
      </w:pPr>
      <w:rPr>
        <w:rFonts w:cstheme="minorBidi" w:hint="default"/>
        <w:sz w:val="22"/>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4" w15:restartNumberingAfterBreak="0">
    <w:nsid w:val="55363533"/>
    <w:multiLevelType w:val="hybridMultilevel"/>
    <w:tmpl w:val="5262F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6327176"/>
    <w:multiLevelType w:val="hybridMultilevel"/>
    <w:tmpl w:val="98DEF4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15:restartNumberingAfterBreak="0">
    <w:nsid w:val="56611442"/>
    <w:multiLevelType w:val="hybridMultilevel"/>
    <w:tmpl w:val="39BA05D4"/>
    <w:lvl w:ilvl="0" w:tplc="D2661D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80F7547"/>
    <w:multiLevelType w:val="hybridMultilevel"/>
    <w:tmpl w:val="08B0C074"/>
    <w:lvl w:ilvl="0" w:tplc="3A4E1744">
      <w:start w:val="2"/>
      <w:numFmt w:val="bullet"/>
      <w:lvlText w:val="-"/>
      <w:lvlJc w:val="left"/>
      <w:pPr>
        <w:ind w:left="360" w:hanging="360"/>
      </w:pPr>
      <w:rPr>
        <w:rFonts w:ascii="Times New Roman" w:eastAsia="Times New Roman" w:hAnsi="Times New Roman" w:cs="Times New Roman"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8" w15:restartNumberingAfterBreak="0">
    <w:nsid w:val="58D64962"/>
    <w:multiLevelType w:val="hybridMultilevel"/>
    <w:tmpl w:val="CE24FA30"/>
    <w:lvl w:ilvl="0" w:tplc="18665134">
      <w:start w:val="3"/>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599D1617"/>
    <w:multiLevelType w:val="hybridMultilevel"/>
    <w:tmpl w:val="5FE08394"/>
    <w:lvl w:ilvl="0" w:tplc="280A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59B71661"/>
    <w:multiLevelType w:val="hybridMultilevel"/>
    <w:tmpl w:val="949CAB28"/>
    <w:lvl w:ilvl="0" w:tplc="578ADCA2">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59F251A5"/>
    <w:multiLevelType w:val="hybridMultilevel"/>
    <w:tmpl w:val="76669D0C"/>
    <w:lvl w:ilvl="0" w:tplc="399C8E32">
      <w:start w:val="1"/>
      <w:numFmt w:val="low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2" w15:restartNumberingAfterBreak="0">
    <w:nsid w:val="5FDD7652"/>
    <w:multiLevelType w:val="hybridMultilevel"/>
    <w:tmpl w:val="024A4AE4"/>
    <w:lvl w:ilvl="0" w:tplc="578ADCA2">
      <w:start w:val="1"/>
      <w:numFmt w:val="decimal"/>
      <w:lvlText w:val="%1."/>
      <w:lvlJc w:val="left"/>
      <w:pPr>
        <w:ind w:left="696" w:hanging="360"/>
      </w:pPr>
      <w:rPr>
        <w:rFonts w:hint="default"/>
      </w:rPr>
    </w:lvl>
    <w:lvl w:ilvl="1" w:tplc="040A0019">
      <w:start w:val="1"/>
      <w:numFmt w:val="lowerLetter"/>
      <w:lvlText w:val="%2."/>
      <w:lvlJc w:val="left"/>
      <w:pPr>
        <w:ind w:left="1416" w:hanging="360"/>
      </w:pPr>
    </w:lvl>
    <w:lvl w:ilvl="2" w:tplc="040A001B" w:tentative="1">
      <w:start w:val="1"/>
      <w:numFmt w:val="lowerRoman"/>
      <w:lvlText w:val="%3."/>
      <w:lvlJc w:val="right"/>
      <w:pPr>
        <w:ind w:left="2136" w:hanging="180"/>
      </w:pPr>
    </w:lvl>
    <w:lvl w:ilvl="3" w:tplc="040A000F" w:tentative="1">
      <w:start w:val="1"/>
      <w:numFmt w:val="decimal"/>
      <w:lvlText w:val="%4."/>
      <w:lvlJc w:val="left"/>
      <w:pPr>
        <w:ind w:left="2856" w:hanging="360"/>
      </w:pPr>
    </w:lvl>
    <w:lvl w:ilvl="4" w:tplc="040A0019" w:tentative="1">
      <w:start w:val="1"/>
      <w:numFmt w:val="lowerLetter"/>
      <w:lvlText w:val="%5."/>
      <w:lvlJc w:val="left"/>
      <w:pPr>
        <w:ind w:left="3576" w:hanging="360"/>
      </w:pPr>
    </w:lvl>
    <w:lvl w:ilvl="5" w:tplc="040A001B" w:tentative="1">
      <w:start w:val="1"/>
      <w:numFmt w:val="lowerRoman"/>
      <w:lvlText w:val="%6."/>
      <w:lvlJc w:val="right"/>
      <w:pPr>
        <w:ind w:left="4296" w:hanging="180"/>
      </w:pPr>
    </w:lvl>
    <w:lvl w:ilvl="6" w:tplc="040A000F" w:tentative="1">
      <w:start w:val="1"/>
      <w:numFmt w:val="decimal"/>
      <w:lvlText w:val="%7."/>
      <w:lvlJc w:val="left"/>
      <w:pPr>
        <w:ind w:left="5016" w:hanging="360"/>
      </w:pPr>
    </w:lvl>
    <w:lvl w:ilvl="7" w:tplc="040A0019" w:tentative="1">
      <w:start w:val="1"/>
      <w:numFmt w:val="lowerLetter"/>
      <w:lvlText w:val="%8."/>
      <w:lvlJc w:val="left"/>
      <w:pPr>
        <w:ind w:left="5736" w:hanging="360"/>
      </w:pPr>
    </w:lvl>
    <w:lvl w:ilvl="8" w:tplc="040A001B" w:tentative="1">
      <w:start w:val="1"/>
      <w:numFmt w:val="lowerRoman"/>
      <w:lvlText w:val="%9."/>
      <w:lvlJc w:val="right"/>
      <w:pPr>
        <w:ind w:left="6456" w:hanging="180"/>
      </w:pPr>
    </w:lvl>
  </w:abstractNum>
  <w:abstractNum w:abstractNumId="63" w15:restartNumberingAfterBreak="0">
    <w:nsid w:val="5FF465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3A34195"/>
    <w:multiLevelType w:val="hybridMultilevel"/>
    <w:tmpl w:val="87D2F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73F1657"/>
    <w:multiLevelType w:val="hybridMultilevel"/>
    <w:tmpl w:val="81122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A730F4A"/>
    <w:multiLevelType w:val="hybridMultilevel"/>
    <w:tmpl w:val="8684FC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6B927D8F"/>
    <w:multiLevelType w:val="hybridMultilevel"/>
    <w:tmpl w:val="51628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6C7223A4"/>
    <w:multiLevelType w:val="hybridMultilevel"/>
    <w:tmpl w:val="199CFB16"/>
    <w:lvl w:ilvl="0" w:tplc="22684CF4">
      <w:numFmt w:val="bullet"/>
      <w:pStyle w:val="Vieta1"/>
      <w:lvlText w:val="-"/>
      <w:lvlJc w:val="left"/>
      <w:pPr>
        <w:ind w:left="720" w:hanging="360"/>
      </w:pPr>
      <w:rPr>
        <w:rFonts w:ascii="Arial" w:hAnsi="Arial" w:cs="Times New Roman" w:hint="default"/>
        <w:color w:val="auto"/>
        <w:sz w:val="16"/>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69" w15:restartNumberingAfterBreak="0">
    <w:nsid w:val="6F665B2D"/>
    <w:multiLevelType w:val="hybridMultilevel"/>
    <w:tmpl w:val="4200549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0BD57BA"/>
    <w:multiLevelType w:val="hybridMultilevel"/>
    <w:tmpl w:val="AC48B418"/>
    <w:lvl w:ilvl="0" w:tplc="18665134">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30C6784"/>
    <w:multiLevelType w:val="hybridMultilevel"/>
    <w:tmpl w:val="07940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44A0902"/>
    <w:multiLevelType w:val="hybridMultilevel"/>
    <w:tmpl w:val="9AE6F6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760332D6"/>
    <w:multiLevelType w:val="hybridMultilevel"/>
    <w:tmpl w:val="DBC2551E"/>
    <w:lvl w:ilvl="0" w:tplc="18665134">
      <w:start w:val="3"/>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4" w15:restartNumberingAfterBreak="0">
    <w:nsid w:val="76352A54"/>
    <w:multiLevelType w:val="hybridMultilevel"/>
    <w:tmpl w:val="23A60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9C83D50"/>
    <w:multiLevelType w:val="hybridMultilevel"/>
    <w:tmpl w:val="E5CECDA0"/>
    <w:lvl w:ilvl="0" w:tplc="C5D63C54">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6" w15:restartNumberingAfterBreak="0">
    <w:nsid w:val="7A5137DB"/>
    <w:multiLevelType w:val="multilevel"/>
    <w:tmpl w:val="FB347F4C"/>
    <w:lvl w:ilvl="0">
      <w:start w:val="1"/>
      <w:numFmt w:val="lowerLetter"/>
      <w:lvlText w:val="%1)"/>
      <w:lvlJc w:val="left"/>
      <w:pPr>
        <w:ind w:left="1056" w:hanging="360"/>
      </w:pPr>
      <w:rPr>
        <w:rFonts w:ascii="Calibri" w:eastAsia="Calibri" w:hAnsi="Calibri" w:cs="Calibri" w:hint="default"/>
        <w:spacing w:val="-1"/>
        <w:w w:val="100"/>
        <w:sz w:val="22"/>
        <w:szCs w:val="22"/>
      </w:rPr>
    </w:lvl>
    <w:lvl w:ilvl="1">
      <w:numFmt w:val="bullet"/>
      <w:lvlText w:val="•"/>
      <w:lvlJc w:val="left"/>
      <w:pPr>
        <w:ind w:left="1936" w:hanging="360"/>
      </w:pPr>
      <w:rPr>
        <w:rFonts w:hint="default"/>
      </w:rPr>
    </w:lvl>
    <w:lvl w:ilvl="2">
      <w:numFmt w:val="bullet"/>
      <w:lvlText w:val="•"/>
      <w:lvlJc w:val="left"/>
      <w:pPr>
        <w:ind w:left="2813" w:hanging="360"/>
      </w:pPr>
      <w:rPr>
        <w:rFonts w:hint="default"/>
      </w:rPr>
    </w:lvl>
    <w:lvl w:ilvl="3">
      <w:numFmt w:val="bullet"/>
      <w:lvlText w:val="•"/>
      <w:lvlJc w:val="left"/>
      <w:pPr>
        <w:ind w:left="3689" w:hanging="360"/>
      </w:pPr>
      <w:rPr>
        <w:rFonts w:hint="default"/>
      </w:rPr>
    </w:lvl>
    <w:lvl w:ilvl="4">
      <w:numFmt w:val="bullet"/>
      <w:lvlText w:val="•"/>
      <w:lvlJc w:val="left"/>
      <w:pPr>
        <w:ind w:left="4566" w:hanging="360"/>
      </w:pPr>
      <w:rPr>
        <w:rFonts w:hint="default"/>
      </w:rPr>
    </w:lvl>
    <w:lvl w:ilvl="5">
      <w:numFmt w:val="bullet"/>
      <w:lvlText w:val="•"/>
      <w:lvlJc w:val="left"/>
      <w:pPr>
        <w:ind w:left="5443" w:hanging="360"/>
      </w:pPr>
      <w:rPr>
        <w:rFonts w:hint="default"/>
      </w:rPr>
    </w:lvl>
    <w:lvl w:ilvl="6">
      <w:numFmt w:val="bullet"/>
      <w:lvlText w:val="•"/>
      <w:lvlJc w:val="left"/>
      <w:pPr>
        <w:ind w:left="6319" w:hanging="360"/>
      </w:pPr>
      <w:rPr>
        <w:rFonts w:hint="default"/>
      </w:rPr>
    </w:lvl>
    <w:lvl w:ilvl="7">
      <w:numFmt w:val="bullet"/>
      <w:lvlText w:val="•"/>
      <w:lvlJc w:val="left"/>
      <w:pPr>
        <w:ind w:left="7196" w:hanging="360"/>
      </w:pPr>
      <w:rPr>
        <w:rFonts w:hint="default"/>
      </w:rPr>
    </w:lvl>
    <w:lvl w:ilvl="8">
      <w:numFmt w:val="bullet"/>
      <w:lvlText w:val="•"/>
      <w:lvlJc w:val="left"/>
      <w:pPr>
        <w:ind w:left="8073" w:hanging="360"/>
      </w:pPr>
      <w:rPr>
        <w:rFonts w:hint="default"/>
      </w:rPr>
    </w:lvl>
  </w:abstractNum>
  <w:abstractNum w:abstractNumId="77" w15:restartNumberingAfterBreak="0">
    <w:nsid w:val="7AB37767"/>
    <w:multiLevelType w:val="multilevel"/>
    <w:tmpl w:val="E3EEA00C"/>
    <w:lvl w:ilvl="0">
      <w:start w:val="1"/>
      <w:numFmt w:val="decimal"/>
      <w:lvlText w:val="%1."/>
      <w:lvlJc w:val="left"/>
      <w:pPr>
        <w:ind w:left="361" w:hanging="360"/>
      </w:pPr>
      <w:rPr>
        <w:rFonts w:ascii="Arial" w:eastAsia="Calibri" w:hAnsi="Arial" w:cs="Arial" w:hint="default"/>
        <w:w w:val="100"/>
        <w:sz w:val="22"/>
        <w:szCs w:val="22"/>
        <w:lang w:val="fr-FR" w:eastAsia="en-US" w:bidi="ar-SA"/>
      </w:rPr>
    </w:lvl>
    <w:lvl w:ilvl="1">
      <w:start w:val="1"/>
      <w:numFmt w:val="decimal"/>
      <w:lvlText w:val="%1.%2."/>
      <w:lvlJc w:val="left"/>
      <w:pPr>
        <w:ind w:left="793" w:hanging="432"/>
      </w:pPr>
      <w:rPr>
        <w:rFonts w:ascii="Arial" w:eastAsia="Calibri" w:hAnsi="Arial" w:cs="Arial" w:hint="default"/>
        <w:spacing w:val="-1"/>
        <w:w w:val="100"/>
        <w:sz w:val="22"/>
        <w:szCs w:val="22"/>
        <w:lang w:val="fr-FR" w:eastAsia="en-US" w:bidi="ar-SA"/>
      </w:rPr>
    </w:lvl>
    <w:lvl w:ilvl="2">
      <w:numFmt w:val="bullet"/>
      <w:lvlText w:val="•"/>
      <w:lvlJc w:val="left"/>
      <w:pPr>
        <w:ind w:left="1752" w:hanging="432"/>
      </w:pPr>
      <w:rPr>
        <w:rFonts w:hint="default"/>
        <w:lang w:val="fr-FR" w:eastAsia="en-US" w:bidi="ar-SA"/>
      </w:rPr>
    </w:lvl>
    <w:lvl w:ilvl="3">
      <w:numFmt w:val="bullet"/>
      <w:lvlText w:val="•"/>
      <w:lvlJc w:val="left"/>
      <w:pPr>
        <w:ind w:left="2719" w:hanging="432"/>
      </w:pPr>
      <w:rPr>
        <w:rFonts w:hint="default"/>
        <w:lang w:val="fr-FR" w:eastAsia="en-US" w:bidi="ar-SA"/>
      </w:rPr>
    </w:lvl>
    <w:lvl w:ilvl="4">
      <w:numFmt w:val="bullet"/>
      <w:lvlText w:val="•"/>
      <w:lvlJc w:val="left"/>
      <w:pPr>
        <w:ind w:left="3687" w:hanging="432"/>
      </w:pPr>
      <w:rPr>
        <w:rFonts w:hint="default"/>
        <w:lang w:val="fr-FR" w:eastAsia="en-US" w:bidi="ar-SA"/>
      </w:rPr>
    </w:lvl>
    <w:lvl w:ilvl="5">
      <w:numFmt w:val="bullet"/>
      <w:lvlText w:val="•"/>
      <w:lvlJc w:val="left"/>
      <w:pPr>
        <w:ind w:left="4654" w:hanging="432"/>
      </w:pPr>
      <w:rPr>
        <w:rFonts w:hint="default"/>
        <w:lang w:val="fr-FR" w:eastAsia="en-US" w:bidi="ar-SA"/>
      </w:rPr>
    </w:lvl>
    <w:lvl w:ilvl="6">
      <w:numFmt w:val="bullet"/>
      <w:lvlText w:val="•"/>
      <w:lvlJc w:val="left"/>
      <w:pPr>
        <w:ind w:left="5621" w:hanging="432"/>
      </w:pPr>
      <w:rPr>
        <w:rFonts w:hint="default"/>
        <w:lang w:val="fr-FR" w:eastAsia="en-US" w:bidi="ar-SA"/>
      </w:rPr>
    </w:lvl>
    <w:lvl w:ilvl="7">
      <w:numFmt w:val="bullet"/>
      <w:lvlText w:val="•"/>
      <w:lvlJc w:val="left"/>
      <w:pPr>
        <w:ind w:left="6589" w:hanging="432"/>
      </w:pPr>
      <w:rPr>
        <w:rFonts w:hint="default"/>
        <w:lang w:val="fr-FR" w:eastAsia="en-US" w:bidi="ar-SA"/>
      </w:rPr>
    </w:lvl>
    <w:lvl w:ilvl="8">
      <w:numFmt w:val="bullet"/>
      <w:lvlText w:val="•"/>
      <w:lvlJc w:val="left"/>
      <w:pPr>
        <w:ind w:left="7556" w:hanging="432"/>
      </w:pPr>
      <w:rPr>
        <w:rFonts w:hint="default"/>
        <w:lang w:val="fr-FR" w:eastAsia="en-US" w:bidi="ar-SA"/>
      </w:rPr>
    </w:lvl>
  </w:abstractNum>
  <w:abstractNum w:abstractNumId="78" w15:restartNumberingAfterBreak="0">
    <w:nsid w:val="7D5F7391"/>
    <w:multiLevelType w:val="multilevel"/>
    <w:tmpl w:val="9E0224B0"/>
    <w:lvl w:ilvl="0">
      <w:start w:val="6"/>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E4C782F"/>
    <w:multiLevelType w:val="hybridMultilevel"/>
    <w:tmpl w:val="B9825B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3"/>
  </w:num>
  <w:num w:numId="2">
    <w:abstractNumId w:val="35"/>
  </w:num>
  <w:num w:numId="3">
    <w:abstractNumId w:val="52"/>
  </w:num>
  <w:num w:numId="4">
    <w:abstractNumId w:val="2"/>
  </w:num>
  <w:num w:numId="5">
    <w:abstractNumId w:val="77"/>
  </w:num>
  <w:num w:numId="6">
    <w:abstractNumId w:val="3"/>
  </w:num>
  <w:num w:numId="7">
    <w:abstractNumId w:val="4"/>
  </w:num>
  <w:num w:numId="8">
    <w:abstractNumId w:val="57"/>
  </w:num>
  <w:num w:numId="9">
    <w:abstractNumId w:val="61"/>
  </w:num>
  <w:num w:numId="10">
    <w:abstractNumId w:val="27"/>
  </w:num>
  <w:num w:numId="11">
    <w:abstractNumId w:val="75"/>
  </w:num>
  <w:num w:numId="12">
    <w:abstractNumId w:val="19"/>
  </w:num>
  <w:num w:numId="13">
    <w:abstractNumId w:val="23"/>
  </w:num>
  <w:num w:numId="14">
    <w:abstractNumId w:val="62"/>
  </w:num>
  <w:num w:numId="15">
    <w:abstractNumId w:val="0"/>
  </w:num>
  <w:num w:numId="16">
    <w:abstractNumId w:val="13"/>
  </w:num>
  <w:num w:numId="17">
    <w:abstractNumId w:val="16"/>
  </w:num>
  <w:num w:numId="18">
    <w:abstractNumId w:val="60"/>
  </w:num>
  <w:num w:numId="19">
    <w:abstractNumId w:val="28"/>
  </w:num>
  <w:num w:numId="20">
    <w:abstractNumId w:val="36"/>
  </w:num>
  <w:num w:numId="21">
    <w:abstractNumId w:val="11"/>
  </w:num>
  <w:num w:numId="22">
    <w:abstractNumId w:val="76"/>
  </w:num>
  <w:num w:numId="23">
    <w:abstractNumId w:val="41"/>
  </w:num>
  <w:num w:numId="24">
    <w:abstractNumId w:val="38"/>
  </w:num>
  <w:num w:numId="25">
    <w:abstractNumId w:val="67"/>
  </w:num>
  <w:num w:numId="26">
    <w:abstractNumId w:val="69"/>
  </w:num>
  <w:num w:numId="27">
    <w:abstractNumId w:val="70"/>
  </w:num>
  <w:num w:numId="28">
    <w:abstractNumId w:val="73"/>
  </w:num>
  <w:num w:numId="29">
    <w:abstractNumId w:val="58"/>
  </w:num>
  <w:num w:numId="30">
    <w:abstractNumId w:val="64"/>
  </w:num>
  <w:num w:numId="31">
    <w:abstractNumId w:val="18"/>
  </w:num>
  <w:num w:numId="32">
    <w:abstractNumId w:val="39"/>
  </w:num>
  <w:num w:numId="33">
    <w:abstractNumId w:val="29"/>
  </w:num>
  <w:num w:numId="34">
    <w:abstractNumId w:val="34"/>
  </w:num>
  <w:num w:numId="35">
    <w:abstractNumId w:val="26"/>
  </w:num>
  <w:num w:numId="36">
    <w:abstractNumId w:val="14"/>
  </w:num>
  <w:num w:numId="37">
    <w:abstractNumId w:val="20"/>
  </w:num>
  <w:num w:numId="38">
    <w:abstractNumId w:val="74"/>
  </w:num>
  <w:num w:numId="39">
    <w:abstractNumId w:val="37"/>
  </w:num>
  <w:num w:numId="40">
    <w:abstractNumId w:val="56"/>
  </w:num>
  <w:num w:numId="41">
    <w:abstractNumId w:val="49"/>
  </w:num>
  <w:num w:numId="42">
    <w:abstractNumId w:val="43"/>
  </w:num>
  <w:num w:numId="43">
    <w:abstractNumId w:val="54"/>
  </w:num>
  <w:num w:numId="44">
    <w:abstractNumId w:val="47"/>
  </w:num>
  <w:num w:numId="45">
    <w:abstractNumId w:val="59"/>
  </w:num>
  <w:num w:numId="46">
    <w:abstractNumId w:val="25"/>
  </w:num>
  <w:num w:numId="47">
    <w:abstractNumId w:val="24"/>
  </w:num>
  <w:num w:numId="48">
    <w:abstractNumId w:val="71"/>
  </w:num>
  <w:num w:numId="49">
    <w:abstractNumId w:val="15"/>
  </w:num>
  <w:num w:numId="50">
    <w:abstractNumId w:val="1"/>
  </w:num>
  <w:num w:numId="51">
    <w:abstractNumId w:val="30"/>
  </w:num>
  <w:num w:numId="52">
    <w:abstractNumId w:val="40"/>
  </w:num>
  <w:num w:numId="53">
    <w:abstractNumId w:val="31"/>
  </w:num>
  <w:num w:numId="54">
    <w:abstractNumId w:val="10"/>
  </w:num>
  <w:num w:numId="55">
    <w:abstractNumId w:val="6"/>
  </w:num>
  <w:num w:numId="56">
    <w:abstractNumId w:val="32"/>
  </w:num>
  <w:num w:numId="57">
    <w:abstractNumId w:val="78"/>
  </w:num>
  <w:num w:numId="58">
    <w:abstractNumId w:val="68"/>
  </w:num>
  <w:num w:numId="59">
    <w:abstractNumId w:val="33"/>
  </w:num>
  <w:num w:numId="60">
    <w:abstractNumId w:val="22"/>
  </w:num>
  <w:num w:numId="61">
    <w:abstractNumId w:val="48"/>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12"/>
  </w:num>
  <w:num w:numId="65">
    <w:abstractNumId w:val="53"/>
  </w:num>
  <w:num w:numId="66">
    <w:abstractNumId w:val="46"/>
  </w:num>
  <w:num w:numId="67">
    <w:abstractNumId w:val="21"/>
  </w:num>
  <w:num w:numId="68">
    <w:abstractNumId w:val="42"/>
  </w:num>
  <w:num w:numId="69">
    <w:abstractNumId w:val="51"/>
  </w:num>
  <w:num w:numId="70">
    <w:abstractNumId w:val="65"/>
  </w:num>
  <w:num w:numId="71">
    <w:abstractNumId w:val="72"/>
  </w:num>
  <w:num w:numId="72">
    <w:abstractNumId w:val="8"/>
  </w:num>
  <w:num w:numId="73">
    <w:abstractNumId w:val="55"/>
  </w:num>
  <w:num w:numId="74">
    <w:abstractNumId w:val="79"/>
  </w:num>
  <w:num w:numId="75">
    <w:abstractNumId w:val="45"/>
  </w:num>
  <w:num w:numId="76">
    <w:abstractNumId w:val="66"/>
  </w:num>
  <w:num w:numId="77">
    <w:abstractNumId w:val="17"/>
  </w:num>
  <w:num w:numId="78">
    <w:abstractNumId w:val="5"/>
  </w:num>
  <w:num w:numId="79">
    <w:abstractNumId w:val="44"/>
  </w:num>
  <w:num w:numId="80">
    <w:abstractNumId w:val="7"/>
  </w:num>
  <w:num w:numId="81">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tTAwMjM2tjAxMzVS0lEKTi0uzszPAymwrAUA4r7gQSwAAAA="/>
  </w:docVars>
  <w:rsids>
    <w:rsidRoot w:val="00EF1F8C"/>
    <w:rsid w:val="000030B2"/>
    <w:rsid w:val="00003BBB"/>
    <w:rsid w:val="0000425F"/>
    <w:rsid w:val="0000495D"/>
    <w:rsid w:val="0000509F"/>
    <w:rsid w:val="000064C4"/>
    <w:rsid w:val="0000668A"/>
    <w:rsid w:val="00006D2A"/>
    <w:rsid w:val="00006DC1"/>
    <w:rsid w:val="0000721C"/>
    <w:rsid w:val="00010978"/>
    <w:rsid w:val="00010BAF"/>
    <w:rsid w:val="0001151B"/>
    <w:rsid w:val="00011982"/>
    <w:rsid w:val="00011ED2"/>
    <w:rsid w:val="00011EFC"/>
    <w:rsid w:val="00011F65"/>
    <w:rsid w:val="00012215"/>
    <w:rsid w:val="00012360"/>
    <w:rsid w:val="00012899"/>
    <w:rsid w:val="00012F07"/>
    <w:rsid w:val="0001369D"/>
    <w:rsid w:val="00013E20"/>
    <w:rsid w:val="00014084"/>
    <w:rsid w:val="00014886"/>
    <w:rsid w:val="00014C1F"/>
    <w:rsid w:val="00014C2D"/>
    <w:rsid w:val="000163E3"/>
    <w:rsid w:val="000175F6"/>
    <w:rsid w:val="0001795F"/>
    <w:rsid w:val="00017DA0"/>
    <w:rsid w:val="0002014C"/>
    <w:rsid w:val="00021724"/>
    <w:rsid w:val="00021F9B"/>
    <w:rsid w:val="00022199"/>
    <w:rsid w:val="0002255C"/>
    <w:rsid w:val="000237C7"/>
    <w:rsid w:val="00024156"/>
    <w:rsid w:val="000246D0"/>
    <w:rsid w:val="000270BE"/>
    <w:rsid w:val="00027AC3"/>
    <w:rsid w:val="00031060"/>
    <w:rsid w:val="000316A9"/>
    <w:rsid w:val="00031A19"/>
    <w:rsid w:val="00031F68"/>
    <w:rsid w:val="00032218"/>
    <w:rsid w:val="0003579C"/>
    <w:rsid w:val="00035AC4"/>
    <w:rsid w:val="00035EC0"/>
    <w:rsid w:val="0003639D"/>
    <w:rsid w:val="000376FC"/>
    <w:rsid w:val="00037CA4"/>
    <w:rsid w:val="000400F9"/>
    <w:rsid w:val="000410D7"/>
    <w:rsid w:val="000427DA"/>
    <w:rsid w:val="00043C5D"/>
    <w:rsid w:val="00043D8A"/>
    <w:rsid w:val="00045C2F"/>
    <w:rsid w:val="00046440"/>
    <w:rsid w:val="000464DF"/>
    <w:rsid w:val="00046C0C"/>
    <w:rsid w:val="00047BFF"/>
    <w:rsid w:val="00047F3F"/>
    <w:rsid w:val="00050AFD"/>
    <w:rsid w:val="000511CA"/>
    <w:rsid w:val="000513A2"/>
    <w:rsid w:val="00051FBE"/>
    <w:rsid w:val="00052650"/>
    <w:rsid w:val="00053262"/>
    <w:rsid w:val="00053CDB"/>
    <w:rsid w:val="000542DC"/>
    <w:rsid w:val="000551F0"/>
    <w:rsid w:val="00055786"/>
    <w:rsid w:val="000558F0"/>
    <w:rsid w:val="000564B0"/>
    <w:rsid w:val="00056F6D"/>
    <w:rsid w:val="00057482"/>
    <w:rsid w:val="00057A32"/>
    <w:rsid w:val="0006026D"/>
    <w:rsid w:val="0006103C"/>
    <w:rsid w:val="00061149"/>
    <w:rsid w:val="0006135E"/>
    <w:rsid w:val="000629D6"/>
    <w:rsid w:val="00062D84"/>
    <w:rsid w:val="000631F4"/>
    <w:rsid w:val="00063711"/>
    <w:rsid w:val="000645E4"/>
    <w:rsid w:val="0006539E"/>
    <w:rsid w:val="00066768"/>
    <w:rsid w:val="00066A8F"/>
    <w:rsid w:val="00066AB0"/>
    <w:rsid w:val="00067368"/>
    <w:rsid w:val="00067496"/>
    <w:rsid w:val="0007008E"/>
    <w:rsid w:val="00070401"/>
    <w:rsid w:val="00071392"/>
    <w:rsid w:val="00071B92"/>
    <w:rsid w:val="00072104"/>
    <w:rsid w:val="000724E9"/>
    <w:rsid w:val="00072707"/>
    <w:rsid w:val="00072B3C"/>
    <w:rsid w:val="000735B3"/>
    <w:rsid w:val="00073688"/>
    <w:rsid w:val="0007392C"/>
    <w:rsid w:val="000739C8"/>
    <w:rsid w:val="000739D7"/>
    <w:rsid w:val="0007415C"/>
    <w:rsid w:val="000745AE"/>
    <w:rsid w:val="00074A1F"/>
    <w:rsid w:val="0007542B"/>
    <w:rsid w:val="0007595B"/>
    <w:rsid w:val="0007731E"/>
    <w:rsid w:val="000776CB"/>
    <w:rsid w:val="0008075C"/>
    <w:rsid w:val="00080FAC"/>
    <w:rsid w:val="00081AFD"/>
    <w:rsid w:val="000832AE"/>
    <w:rsid w:val="00083C09"/>
    <w:rsid w:val="00083CE8"/>
    <w:rsid w:val="00085936"/>
    <w:rsid w:val="00085DE9"/>
    <w:rsid w:val="000868DC"/>
    <w:rsid w:val="00087E0A"/>
    <w:rsid w:val="000902CB"/>
    <w:rsid w:val="00090792"/>
    <w:rsid w:val="0009180A"/>
    <w:rsid w:val="0009187F"/>
    <w:rsid w:val="00092A6A"/>
    <w:rsid w:val="000937AA"/>
    <w:rsid w:val="00094530"/>
    <w:rsid w:val="0009567B"/>
    <w:rsid w:val="000956E0"/>
    <w:rsid w:val="00095F3B"/>
    <w:rsid w:val="00097938"/>
    <w:rsid w:val="000A023A"/>
    <w:rsid w:val="000A3556"/>
    <w:rsid w:val="000A3763"/>
    <w:rsid w:val="000A51DF"/>
    <w:rsid w:val="000A52E4"/>
    <w:rsid w:val="000A56B3"/>
    <w:rsid w:val="000A71B7"/>
    <w:rsid w:val="000A7443"/>
    <w:rsid w:val="000A796A"/>
    <w:rsid w:val="000A7DFA"/>
    <w:rsid w:val="000B007F"/>
    <w:rsid w:val="000B00F5"/>
    <w:rsid w:val="000B0234"/>
    <w:rsid w:val="000B0280"/>
    <w:rsid w:val="000B0CB4"/>
    <w:rsid w:val="000B25FD"/>
    <w:rsid w:val="000B287B"/>
    <w:rsid w:val="000B2BE6"/>
    <w:rsid w:val="000B2D0C"/>
    <w:rsid w:val="000B3AE6"/>
    <w:rsid w:val="000B5605"/>
    <w:rsid w:val="000B5B94"/>
    <w:rsid w:val="000B5D0F"/>
    <w:rsid w:val="000B6306"/>
    <w:rsid w:val="000B6C6D"/>
    <w:rsid w:val="000B7231"/>
    <w:rsid w:val="000B7DAE"/>
    <w:rsid w:val="000C0695"/>
    <w:rsid w:val="000C0797"/>
    <w:rsid w:val="000C0A32"/>
    <w:rsid w:val="000C18B3"/>
    <w:rsid w:val="000C1CD9"/>
    <w:rsid w:val="000C1F04"/>
    <w:rsid w:val="000C2C92"/>
    <w:rsid w:val="000C3DA0"/>
    <w:rsid w:val="000C4BEB"/>
    <w:rsid w:val="000C4D22"/>
    <w:rsid w:val="000D1549"/>
    <w:rsid w:val="000D15AE"/>
    <w:rsid w:val="000D1B0E"/>
    <w:rsid w:val="000D217C"/>
    <w:rsid w:val="000D2C64"/>
    <w:rsid w:val="000D2EEE"/>
    <w:rsid w:val="000D4786"/>
    <w:rsid w:val="000D4898"/>
    <w:rsid w:val="000D4B06"/>
    <w:rsid w:val="000D5018"/>
    <w:rsid w:val="000D57D5"/>
    <w:rsid w:val="000D5ECE"/>
    <w:rsid w:val="000D7170"/>
    <w:rsid w:val="000D7CD6"/>
    <w:rsid w:val="000E0E69"/>
    <w:rsid w:val="000E1D9D"/>
    <w:rsid w:val="000E2894"/>
    <w:rsid w:val="000E2D8D"/>
    <w:rsid w:val="000E34A2"/>
    <w:rsid w:val="000E439D"/>
    <w:rsid w:val="000E44AD"/>
    <w:rsid w:val="000E4994"/>
    <w:rsid w:val="000E4CCB"/>
    <w:rsid w:val="000E4FD0"/>
    <w:rsid w:val="000E7DB3"/>
    <w:rsid w:val="000E7E81"/>
    <w:rsid w:val="000E7EDA"/>
    <w:rsid w:val="000F1FC5"/>
    <w:rsid w:val="000F2E42"/>
    <w:rsid w:val="000F45B7"/>
    <w:rsid w:val="000F4A77"/>
    <w:rsid w:val="000F4FDF"/>
    <w:rsid w:val="000F5E0D"/>
    <w:rsid w:val="000F65FF"/>
    <w:rsid w:val="000F6D05"/>
    <w:rsid w:val="000F7BF2"/>
    <w:rsid w:val="0010089C"/>
    <w:rsid w:val="001009EB"/>
    <w:rsid w:val="00100F60"/>
    <w:rsid w:val="00101210"/>
    <w:rsid w:val="00102605"/>
    <w:rsid w:val="00102FC3"/>
    <w:rsid w:val="00103EB4"/>
    <w:rsid w:val="00104134"/>
    <w:rsid w:val="0010554A"/>
    <w:rsid w:val="00105BA9"/>
    <w:rsid w:val="001071BE"/>
    <w:rsid w:val="00111191"/>
    <w:rsid w:val="001111FA"/>
    <w:rsid w:val="00111B19"/>
    <w:rsid w:val="00112178"/>
    <w:rsid w:val="001145C3"/>
    <w:rsid w:val="00114695"/>
    <w:rsid w:val="00114FB4"/>
    <w:rsid w:val="00116286"/>
    <w:rsid w:val="00116403"/>
    <w:rsid w:val="00116E1B"/>
    <w:rsid w:val="0011715C"/>
    <w:rsid w:val="001175E2"/>
    <w:rsid w:val="00117A2E"/>
    <w:rsid w:val="001203DF"/>
    <w:rsid w:val="00120BB3"/>
    <w:rsid w:val="00121C74"/>
    <w:rsid w:val="00121D71"/>
    <w:rsid w:val="00122180"/>
    <w:rsid w:val="00122AFC"/>
    <w:rsid w:val="00122BE8"/>
    <w:rsid w:val="00122BF4"/>
    <w:rsid w:val="00123003"/>
    <w:rsid w:val="00123DCD"/>
    <w:rsid w:val="00123E8C"/>
    <w:rsid w:val="00124192"/>
    <w:rsid w:val="001252A6"/>
    <w:rsid w:val="0012533D"/>
    <w:rsid w:val="001258D3"/>
    <w:rsid w:val="00125A76"/>
    <w:rsid w:val="00125D16"/>
    <w:rsid w:val="00125F3A"/>
    <w:rsid w:val="00126810"/>
    <w:rsid w:val="00126C19"/>
    <w:rsid w:val="00126DFD"/>
    <w:rsid w:val="001271B2"/>
    <w:rsid w:val="00127567"/>
    <w:rsid w:val="00127846"/>
    <w:rsid w:val="001302A7"/>
    <w:rsid w:val="00130BA4"/>
    <w:rsid w:val="00130CB9"/>
    <w:rsid w:val="00131072"/>
    <w:rsid w:val="00131731"/>
    <w:rsid w:val="0013214A"/>
    <w:rsid w:val="001325C0"/>
    <w:rsid w:val="0013263F"/>
    <w:rsid w:val="00132806"/>
    <w:rsid w:val="00132A4C"/>
    <w:rsid w:val="001333B9"/>
    <w:rsid w:val="00133942"/>
    <w:rsid w:val="00134B6C"/>
    <w:rsid w:val="001352EF"/>
    <w:rsid w:val="00135D6D"/>
    <w:rsid w:val="0013654B"/>
    <w:rsid w:val="0013789A"/>
    <w:rsid w:val="0014022E"/>
    <w:rsid w:val="0014044E"/>
    <w:rsid w:val="00140AAF"/>
    <w:rsid w:val="00141172"/>
    <w:rsid w:val="00141798"/>
    <w:rsid w:val="00141B3D"/>
    <w:rsid w:val="00141C49"/>
    <w:rsid w:val="00141F30"/>
    <w:rsid w:val="001424D5"/>
    <w:rsid w:val="00142A39"/>
    <w:rsid w:val="00142D53"/>
    <w:rsid w:val="00143368"/>
    <w:rsid w:val="001433BE"/>
    <w:rsid w:val="0014406C"/>
    <w:rsid w:val="001446A4"/>
    <w:rsid w:val="001446D3"/>
    <w:rsid w:val="0014475C"/>
    <w:rsid w:val="00144AB9"/>
    <w:rsid w:val="00144E73"/>
    <w:rsid w:val="0014513E"/>
    <w:rsid w:val="00145D03"/>
    <w:rsid w:val="001465FB"/>
    <w:rsid w:val="00147562"/>
    <w:rsid w:val="00151718"/>
    <w:rsid w:val="00151BED"/>
    <w:rsid w:val="00152760"/>
    <w:rsid w:val="0015300B"/>
    <w:rsid w:val="0015321B"/>
    <w:rsid w:val="00153373"/>
    <w:rsid w:val="00153A25"/>
    <w:rsid w:val="00153C79"/>
    <w:rsid w:val="00154A3E"/>
    <w:rsid w:val="00155498"/>
    <w:rsid w:val="001555EA"/>
    <w:rsid w:val="001565B9"/>
    <w:rsid w:val="00156FCF"/>
    <w:rsid w:val="00157351"/>
    <w:rsid w:val="0015795C"/>
    <w:rsid w:val="00160F54"/>
    <w:rsid w:val="001624C1"/>
    <w:rsid w:val="001629C3"/>
    <w:rsid w:val="00162BC3"/>
    <w:rsid w:val="00162E55"/>
    <w:rsid w:val="0016313D"/>
    <w:rsid w:val="0016325B"/>
    <w:rsid w:val="00163B7D"/>
    <w:rsid w:val="00164680"/>
    <w:rsid w:val="001646B0"/>
    <w:rsid w:val="001646CC"/>
    <w:rsid w:val="001651E5"/>
    <w:rsid w:val="00165476"/>
    <w:rsid w:val="001670E2"/>
    <w:rsid w:val="00170EF5"/>
    <w:rsid w:val="0017167E"/>
    <w:rsid w:val="00171DBE"/>
    <w:rsid w:val="00173529"/>
    <w:rsid w:val="00173F4C"/>
    <w:rsid w:val="001742B0"/>
    <w:rsid w:val="00174AF1"/>
    <w:rsid w:val="00175CE2"/>
    <w:rsid w:val="00177872"/>
    <w:rsid w:val="00177B8B"/>
    <w:rsid w:val="00180456"/>
    <w:rsid w:val="00180575"/>
    <w:rsid w:val="001812D6"/>
    <w:rsid w:val="00181387"/>
    <w:rsid w:val="00181C0B"/>
    <w:rsid w:val="00182159"/>
    <w:rsid w:val="00182F0C"/>
    <w:rsid w:val="00183414"/>
    <w:rsid w:val="00183469"/>
    <w:rsid w:val="00183503"/>
    <w:rsid w:val="00183AB5"/>
    <w:rsid w:val="00184051"/>
    <w:rsid w:val="001844EC"/>
    <w:rsid w:val="00184DF7"/>
    <w:rsid w:val="00184E5F"/>
    <w:rsid w:val="0018648E"/>
    <w:rsid w:val="001901A5"/>
    <w:rsid w:val="00190CE7"/>
    <w:rsid w:val="001911E3"/>
    <w:rsid w:val="001914EB"/>
    <w:rsid w:val="00192BD5"/>
    <w:rsid w:val="001940C8"/>
    <w:rsid w:val="0019475C"/>
    <w:rsid w:val="00194A65"/>
    <w:rsid w:val="00194ED0"/>
    <w:rsid w:val="00195298"/>
    <w:rsid w:val="00195732"/>
    <w:rsid w:val="00197D85"/>
    <w:rsid w:val="001A1522"/>
    <w:rsid w:val="001A19AD"/>
    <w:rsid w:val="001A1F29"/>
    <w:rsid w:val="001A225B"/>
    <w:rsid w:val="001A27DD"/>
    <w:rsid w:val="001A2D6E"/>
    <w:rsid w:val="001A3560"/>
    <w:rsid w:val="001A3DB8"/>
    <w:rsid w:val="001A44F0"/>
    <w:rsid w:val="001A4725"/>
    <w:rsid w:val="001A49E9"/>
    <w:rsid w:val="001A4DE1"/>
    <w:rsid w:val="001A7199"/>
    <w:rsid w:val="001A7C7A"/>
    <w:rsid w:val="001B01CC"/>
    <w:rsid w:val="001B0370"/>
    <w:rsid w:val="001B109D"/>
    <w:rsid w:val="001B1774"/>
    <w:rsid w:val="001B2DBF"/>
    <w:rsid w:val="001B33E6"/>
    <w:rsid w:val="001B6A17"/>
    <w:rsid w:val="001B6CD5"/>
    <w:rsid w:val="001B74E6"/>
    <w:rsid w:val="001B7F52"/>
    <w:rsid w:val="001C00A9"/>
    <w:rsid w:val="001C0465"/>
    <w:rsid w:val="001C0613"/>
    <w:rsid w:val="001C0887"/>
    <w:rsid w:val="001C0E04"/>
    <w:rsid w:val="001C1B38"/>
    <w:rsid w:val="001C2547"/>
    <w:rsid w:val="001C2C99"/>
    <w:rsid w:val="001C3384"/>
    <w:rsid w:val="001C4203"/>
    <w:rsid w:val="001C4BBC"/>
    <w:rsid w:val="001C713B"/>
    <w:rsid w:val="001C7A7B"/>
    <w:rsid w:val="001D0346"/>
    <w:rsid w:val="001D0A39"/>
    <w:rsid w:val="001D1E49"/>
    <w:rsid w:val="001D3013"/>
    <w:rsid w:val="001D3115"/>
    <w:rsid w:val="001D3337"/>
    <w:rsid w:val="001D3790"/>
    <w:rsid w:val="001D434F"/>
    <w:rsid w:val="001D49A0"/>
    <w:rsid w:val="001D5B6A"/>
    <w:rsid w:val="001D771B"/>
    <w:rsid w:val="001D7BE1"/>
    <w:rsid w:val="001E08D0"/>
    <w:rsid w:val="001E0C94"/>
    <w:rsid w:val="001E1110"/>
    <w:rsid w:val="001E1C39"/>
    <w:rsid w:val="001E1F5A"/>
    <w:rsid w:val="001E2948"/>
    <w:rsid w:val="001E2E10"/>
    <w:rsid w:val="001E4EA6"/>
    <w:rsid w:val="001E5C91"/>
    <w:rsid w:val="001F0575"/>
    <w:rsid w:val="001F187D"/>
    <w:rsid w:val="001F28CC"/>
    <w:rsid w:val="001F3C24"/>
    <w:rsid w:val="001F4CD5"/>
    <w:rsid w:val="001F51A5"/>
    <w:rsid w:val="001F5983"/>
    <w:rsid w:val="001F5FC0"/>
    <w:rsid w:val="001F6349"/>
    <w:rsid w:val="001F7D9C"/>
    <w:rsid w:val="00202334"/>
    <w:rsid w:val="00203008"/>
    <w:rsid w:val="00203208"/>
    <w:rsid w:val="00203223"/>
    <w:rsid w:val="00203653"/>
    <w:rsid w:val="002041BF"/>
    <w:rsid w:val="00204518"/>
    <w:rsid w:val="0020472B"/>
    <w:rsid w:val="0020558E"/>
    <w:rsid w:val="002055C6"/>
    <w:rsid w:val="00205AEF"/>
    <w:rsid w:val="002061D0"/>
    <w:rsid w:val="002061DB"/>
    <w:rsid w:val="002061DF"/>
    <w:rsid w:val="0020623E"/>
    <w:rsid w:val="002068C2"/>
    <w:rsid w:val="00207016"/>
    <w:rsid w:val="00210D22"/>
    <w:rsid w:val="002116E4"/>
    <w:rsid w:val="00212D8C"/>
    <w:rsid w:val="0021330F"/>
    <w:rsid w:val="00213393"/>
    <w:rsid w:val="00213D6F"/>
    <w:rsid w:val="00213D95"/>
    <w:rsid w:val="00213DD3"/>
    <w:rsid w:val="0021446F"/>
    <w:rsid w:val="00214954"/>
    <w:rsid w:val="002154C5"/>
    <w:rsid w:val="00215867"/>
    <w:rsid w:val="00215C32"/>
    <w:rsid w:val="002163A7"/>
    <w:rsid w:val="0021698A"/>
    <w:rsid w:val="00217283"/>
    <w:rsid w:val="002176CD"/>
    <w:rsid w:val="002178EA"/>
    <w:rsid w:val="00217954"/>
    <w:rsid w:val="00217D19"/>
    <w:rsid w:val="0022032E"/>
    <w:rsid w:val="002203DA"/>
    <w:rsid w:val="00220C83"/>
    <w:rsid w:val="00220DCF"/>
    <w:rsid w:val="00220E24"/>
    <w:rsid w:val="002211D2"/>
    <w:rsid w:val="00222173"/>
    <w:rsid w:val="00222AD6"/>
    <w:rsid w:val="00222F11"/>
    <w:rsid w:val="002240E0"/>
    <w:rsid w:val="00224247"/>
    <w:rsid w:val="00224907"/>
    <w:rsid w:val="00224E22"/>
    <w:rsid w:val="002251DD"/>
    <w:rsid w:val="00225769"/>
    <w:rsid w:val="00225AA4"/>
    <w:rsid w:val="00226400"/>
    <w:rsid w:val="002267C8"/>
    <w:rsid w:val="00230018"/>
    <w:rsid w:val="00230111"/>
    <w:rsid w:val="00230CAD"/>
    <w:rsid w:val="00231A2C"/>
    <w:rsid w:val="00232033"/>
    <w:rsid w:val="0023234F"/>
    <w:rsid w:val="00233BAE"/>
    <w:rsid w:val="002348C7"/>
    <w:rsid w:val="002356E1"/>
    <w:rsid w:val="00235DDD"/>
    <w:rsid w:val="0023698A"/>
    <w:rsid w:val="00240C50"/>
    <w:rsid w:val="002419A0"/>
    <w:rsid w:val="00241AAC"/>
    <w:rsid w:val="00242831"/>
    <w:rsid w:val="00243C6A"/>
    <w:rsid w:val="00244388"/>
    <w:rsid w:val="00244D61"/>
    <w:rsid w:val="00245519"/>
    <w:rsid w:val="0024567F"/>
    <w:rsid w:val="0024733F"/>
    <w:rsid w:val="002507CE"/>
    <w:rsid w:val="00250C95"/>
    <w:rsid w:val="00252005"/>
    <w:rsid w:val="0025210B"/>
    <w:rsid w:val="00252739"/>
    <w:rsid w:val="00252E2B"/>
    <w:rsid w:val="00252EB9"/>
    <w:rsid w:val="00252F4C"/>
    <w:rsid w:val="00253BE8"/>
    <w:rsid w:val="00254063"/>
    <w:rsid w:val="002546DD"/>
    <w:rsid w:val="00254DE7"/>
    <w:rsid w:val="00255AA8"/>
    <w:rsid w:val="00256107"/>
    <w:rsid w:val="00256A75"/>
    <w:rsid w:val="00256AAB"/>
    <w:rsid w:val="00256AAF"/>
    <w:rsid w:val="00260452"/>
    <w:rsid w:val="00260B9E"/>
    <w:rsid w:val="002611A7"/>
    <w:rsid w:val="0026190D"/>
    <w:rsid w:val="0026276B"/>
    <w:rsid w:val="00263A2E"/>
    <w:rsid w:val="00264B4E"/>
    <w:rsid w:val="00266152"/>
    <w:rsid w:val="00266313"/>
    <w:rsid w:val="002666BC"/>
    <w:rsid w:val="00267306"/>
    <w:rsid w:val="00267D42"/>
    <w:rsid w:val="0027126C"/>
    <w:rsid w:val="002712D1"/>
    <w:rsid w:val="00273014"/>
    <w:rsid w:val="00273CA9"/>
    <w:rsid w:val="00273EC6"/>
    <w:rsid w:val="002746E4"/>
    <w:rsid w:val="002759BB"/>
    <w:rsid w:val="00280208"/>
    <w:rsid w:val="00280222"/>
    <w:rsid w:val="00280D9B"/>
    <w:rsid w:val="00281360"/>
    <w:rsid w:val="002817CD"/>
    <w:rsid w:val="002835DC"/>
    <w:rsid w:val="00283B3F"/>
    <w:rsid w:val="00283D94"/>
    <w:rsid w:val="00284591"/>
    <w:rsid w:val="002847C2"/>
    <w:rsid w:val="00284A97"/>
    <w:rsid w:val="00285105"/>
    <w:rsid w:val="002860C5"/>
    <w:rsid w:val="00287488"/>
    <w:rsid w:val="0029015D"/>
    <w:rsid w:val="0029024B"/>
    <w:rsid w:val="002912AB"/>
    <w:rsid w:val="00291BC1"/>
    <w:rsid w:val="00292C97"/>
    <w:rsid w:val="00293429"/>
    <w:rsid w:val="00293672"/>
    <w:rsid w:val="00293DC5"/>
    <w:rsid w:val="00294511"/>
    <w:rsid w:val="0029501A"/>
    <w:rsid w:val="002950D8"/>
    <w:rsid w:val="0029542E"/>
    <w:rsid w:val="00295944"/>
    <w:rsid w:val="00295E7F"/>
    <w:rsid w:val="00295F79"/>
    <w:rsid w:val="002963C2"/>
    <w:rsid w:val="00296E53"/>
    <w:rsid w:val="00297018"/>
    <w:rsid w:val="00297B6C"/>
    <w:rsid w:val="002A0520"/>
    <w:rsid w:val="002A09A1"/>
    <w:rsid w:val="002A0CDB"/>
    <w:rsid w:val="002A15EB"/>
    <w:rsid w:val="002A1832"/>
    <w:rsid w:val="002A1C43"/>
    <w:rsid w:val="002A2093"/>
    <w:rsid w:val="002A2148"/>
    <w:rsid w:val="002A2CEA"/>
    <w:rsid w:val="002A371A"/>
    <w:rsid w:val="002A3893"/>
    <w:rsid w:val="002A3953"/>
    <w:rsid w:val="002A3B7D"/>
    <w:rsid w:val="002A4726"/>
    <w:rsid w:val="002A4CDE"/>
    <w:rsid w:val="002A4E32"/>
    <w:rsid w:val="002A4EDC"/>
    <w:rsid w:val="002A582F"/>
    <w:rsid w:val="002A6647"/>
    <w:rsid w:val="002A6EE0"/>
    <w:rsid w:val="002A756C"/>
    <w:rsid w:val="002B146D"/>
    <w:rsid w:val="002B2483"/>
    <w:rsid w:val="002B2FD0"/>
    <w:rsid w:val="002B4584"/>
    <w:rsid w:val="002B4C2F"/>
    <w:rsid w:val="002B54A0"/>
    <w:rsid w:val="002B5B73"/>
    <w:rsid w:val="002B6252"/>
    <w:rsid w:val="002B743A"/>
    <w:rsid w:val="002B7971"/>
    <w:rsid w:val="002C0070"/>
    <w:rsid w:val="002C0D6B"/>
    <w:rsid w:val="002C1409"/>
    <w:rsid w:val="002C1810"/>
    <w:rsid w:val="002C1A68"/>
    <w:rsid w:val="002C245E"/>
    <w:rsid w:val="002C312E"/>
    <w:rsid w:val="002C3540"/>
    <w:rsid w:val="002C3806"/>
    <w:rsid w:val="002C3A2B"/>
    <w:rsid w:val="002C4295"/>
    <w:rsid w:val="002C432D"/>
    <w:rsid w:val="002C4CCA"/>
    <w:rsid w:val="002C4E16"/>
    <w:rsid w:val="002C4E6E"/>
    <w:rsid w:val="002D0F30"/>
    <w:rsid w:val="002D1109"/>
    <w:rsid w:val="002D16B0"/>
    <w:rsid w:val="002D1B58"/>
    <w:rsid w:val="002D1B87"/>
    <w:rsid w:val="002D24D7"/>
    <w:rsid w:val="002D2DA7"/>
    <w:rsid w:val="002D2DF4"/>
    <w:rsid w:val="002D2FED"/>
    <w:rsid w:val="002D347E"/>
    <w:rsid w:val="002D391C"/>
    <w:rsid w:val="002D3EE5"/>
    <w:rsid w:val="002D4EF2"/>
    <w:rsid w:val="002D6148"/>
    <w:rsid w:val="002D65B9"/>
    <w:rsid w:val="002E01C7"/>
    <w:rsid w:val="002E051D"/>
    <w:rsid w:val="002E25B0"/>
    <w:rsid w:val="002E33D2"/>
    <w:rsid w:val="002E4661"/>
    <w:rsid w:val="002E52ED"/>
    <w:rsid w:val="002E5305"/>
    <w:rsid w:val="002E56EF"/>
    <w:rsid w:val="002E670E"/>
    <w:rsid w:val="002E6F78"/>
    <w:rsid w:val="002F01FA"/>
    <w:rsid w:val="002F0658"/>
    <w:rsid w:val="002F0814"/>
    <w:rsid w:val="002F17AD"/>
    <w:rsid w:val="002F18BE"/>
    <w:rsid w:val="002F1B66"/>
    <w:rsid w:val="002F20B0"/>
    <w:rsid w:val="002F2DD5"/>
    <w:rsid w:val="002F501E"/>
    <w:rsid w:val="002F52DD"/>
    <w:rsid w:val="002F5535"/>
    <w:rsid w:val="002F5A09"/>
    <w:rsid w:val="002F5FAB"/>
    <w:rsid w:val="002F685C"/>
    <w:rsid w:val="002F6CC8"/>
    <w:rsid w:val="00300E20"/>
    <w:rsid w:val="00301B13"/>
    <w:rsid w:val="003025D5"/>
    <w:rsid w:val="00302730"/>
    <w:rsid w:val="00302C96"/>
    <w:rsid w:val="00303B0E"/>
    <w:rsid w:val="00303F58"/>
    <w:rsid w:val="00304A77"/>
    <w:rsid w:val="00310FAB"/>
    <w:rsid w:val="00311A58"/>
    <w:rsid w:val="0031337A"/>
    <w:rsid w:val="003137AD"/>
    <w:rsid w:val="003141B9"/>
    <w:rsid w:val="003147DF"/>
    <w:rsid w:val="003147EC"/>
    <w:rsid w:val="00314EAC"/>
    <w:rsid w:val="00315EB7"/>
    <w:rsid w:val="003167BA"/>
    <w:rsid w:val="00320ECC"/>
    <w:rsid w:val="003210DC"/>
    <w:rsid w:val="0032120F"/>
    <w:rsid w:val="00322E31"/>
    <w:rsid w:val="00322EB7"/>
    <w:rsid w:val="00323954"/>
    <w:rsid w:val="003245F1"/>
    <w:rsid w:val="00325D02"/>
    <w:rsid w:val="00325EF5"/>
    <w:rsid w:val="0033023A"/>
    <w:rsid w:val="0033228F"/>
    <w:rsid w:val="00332834"/>
    <w:rsid w:val="00332A1F"/>
    <w:rsid w:val="00332DF5"/>
    <w:rsid w:val="00333597"/>
    <w:rsid w:val="00333987"/>
    <w:rsid w:val="003340E8"/>
    <w:rsid w:val="0033472E"/>
    <w:rsid w:val="003349C5"/>
    <w:rsid w:val="00334EC0"/>
    <w:rsid w:val="00335017"/>
    <w:rsid w:val="00335135"/>
    <w:rsid w:val="003359E4"/>
    <w:rsid w:val="00335A63"/>
    <w:rsid w:val="00335B2D"/>
    <w:rsid w:val="00335B9E"/>
    <w:rsid w:val="00337744"/>
    <w:rsid w:val="00340FD3"/>
    <w:rsid w:val="00341149"/>
    <w:rsid w:val="003414A1"/>
    <w:rsid w:val="0034178F"/>
    <w:rsid w:val="00341A1A"/>
    <w:rsid w:val="00342809"/>
    <w:rsid w:val="00342A19"/>
    <w:rsid w:val="00343112"/>
    <w:rsid w:val="003433AC"/>
    <w:rsid w:val="00343FE8"/>
    <w:rsid w:val="00344BF7"/>
    <w:rsid w:val="00344DE7"/>
    <w:rsid w:val="00345C00"/>
    <w:rsid w:val="00345E90"/>
    <w:rsid w:val="00346E9F"/>
    <w:rsid w:val="00350171"/>
    <w:rsid w:val="003502D1"/>
    <w:rsid w:val="00351316"/>
    <w:rsid w:val="00351408"/>
    <w:rsid w:val="003526E2"/>
    <w:rsid w:val="00352C3B"/>
    <w:rsid w:val="00353339"/>
    <w:rsid w:val="00353A0A"/>
    <w:rsid w:val="00353B44"/>
    <w:rsid w:val="00355AEA"/>
    <w:rsid w:val="00355C5B"/>
    <w:rsid w:val="00355E2D"/>
    <w:rsid w:val="00356540"/>
    <w:rsid w:val="003577B9"/>
    <w:rsid w:val="00357CA2"/>
    <w:rsid w:val="00360D44"/>
    <w:rsid w:val="003612BD"/>
    <w:rsid w:val="0036134F"/>
    <w:rsid w:val="0036143F"/>
    <w:rsid w:val="003623A8"/>
    <w:rsid w:val="0036241D"/>
    <w:rsid w:val="003627B5"/>
    <w:rsid w:val="003639A1"/>
    <w:rsid w:val="003647FB"/>
    <w:rsid w:val="00364C8B"/>
    <w:rsid w:val="00365DB9"/>
    <w:rsid w:val="00366398"/>
    <w:rsid w:val="003670C5"/>
    <w:rsid w:val="00367A87"/>
    <w:rsid w:val="00367F3C"/>
    <w:rsid w:val="00370107"/>
    <w:rsid w:val="00370CED"/>
    <w:rsid w:val="003716DC"/>
    <w:rsid w:val="0037194E"/>
    <w:rsid w:val="00371D42"/>
    <w:rsid w:val="0037212A"/>
    <w:rsid w:val="00372445"/>
    <w:rsid w:val="003729B8"/>
    <w:rsid w:val="0037306B"/>
    <w:rsid w:val="0037370C"/>
    <w:rsid w:val="003741EC"/>
    <w:rsid w:val="00374B2E"/>
    <w:rsid w:val="00375954"/>
    <w:rsid w:val="00375ABD"/>
    <w:rsid w:val="00375BCD"/>
    <w:rsid w:val="003800ED"/>
    <w:rsid w:val="00380DF1"/>
    <w:rsid w:val="003813FE"/>
    <w:rsid w:val="00381CC8"/>
    <w:rsid w:val="003822B9"/>
    <w:rsid w:val="00382F62"/>
    <w:rsid w:val="00383AD4"/>
    <w:rsid w:val="00383BBD"/>
    <w:rsid w:val="00384951"/>
    <w:rsid w:val="0038620A"/>
    <w:rsid w:val="003862E5"/>
    <w:rsid w:val="00386832"/>
    <w:rsid w:val="00391FF3"/>
    <w:rsid w:val="00392A5A"/>
    <w:rsid w:val="003939ED"/>
    <w:rsid w:val="00395C65"/>
    <w:rsid w:val="00396F50"/>
    <w:rsid w:val="003A0574"/>
    <w:rsid w:val="003A0BF9"/>
    <w:rsid w:val="003A0FE4"/>
    <w:rsid w:val="003A1012"/>
    <w:rsid w:val="003A157A"/>
    <w:rsid w:val="003A1FF7"/>
    <w:rsid w:val="003A20F5"/>
    <w:rsid w:val="003A2800"/>
    <w:rsid w:val="003A339A"/>
    <w:rsid w:val="003A33A2"/>
    <w:rsid w:val="003A3600"/>
    <w:rsid w:val="003A491D"/>
    <w:rsid w:val="003A5AD1"/>
    <w:rsid w:val="003A5C58"/>
    <w:rsid w:val="003A639C"/>
    <w:rsid w:val="003A6E2B"/>
    <w:rsid w:val="003A7026"/>
    <w:rsid w:val="003A7BF6"/>
    <w:rsid w:val="003A7FD7"/>
    <w:rsid w:val="003B0548"/>
    <w:rsid w:val="003B0988"/>
    <w:rsid w:val="003B0B7F"/>
    <w:rsid w:val="003B0D0D"/>
    <w:rsid w:val="003B1A88"/>
    <w:rsid w:val="003B222F"/>
    <w:rsid w:val="003B23C7"/>
    <w:rsid w:val="003B24B3"/>
    <w:rsid w:val="003B4115"/>
    <w:rsid w:val="003B4387"/>
    <w:rsid w:val="003B64BB"/>
    <w:rsid w:val="003B65DA"/>
    <w:rsid w:val="003B68AD"/>
    <w:rsid w:val="003B7A37"/>
    <w:rsid w:val="003B7DCE"/>
    <w:rsid w:val="003C094B"/>
    <w:rsid w:val="003C1BCA"/>
    <w:rsid w:val="003C2574"/>
    <w:rsid w:val="003C40D4"/>
    <w:rsid w:val="003C4312"/>
    <w:rsid w:val="003C4C29"/>
    <w:rsid w:val="003C598E"/>
    <w:rsid w:val="003C6A16"/>
    <w:rsid w:val="003C7481"/>
    <w:rsid w:val="003D0A19"/>
    <w:rsid w:val="003D11B0"/>
    <w:rsid w:val="003D14BC"/>
    <w:rsid w:val="003D38A7"/>
    <w:rsid w:val="003D3F8D"/>
    <w:rsid w:val="003D5076"/>
    <w:rsid w:val="003D51CC"/>
    <w:rsid w:val="003D5B2B"/>
    <w:rsid w:val="003D6349"/>
    <w:rsid w:val="003D649A"/>
    <w:rsid w:val="003D77DC"/>
    <w:rsid w:val="003D7917"/>
    <w:rsid w:val="003D7B2E"/>
    <w:rsid w:val="003E022B"/>
    <w:rsid w:val="003E0832"/>
    <w:rsid w:val="003E1958"/>
    <w:rsid w:val="003E28CA"/>
    <w:rsid w:val="003E341C"/>
    <w:rsid w:val="003E3617"/>
    <w:rsid w:val="003E4D07"/>
    <w:rsid w:val="003E59EF"/>
    <w:rsid w:val="003E6778"/>
    <w:rsid w:val="003E6FF8"/>
    <w:rsid w:val="003E7235"/>
    <w:rsid w:val="003F1EDE"/>
    <w:rsid w:val="003F2514"/>
    <w:rsid w:val="003F2656"/>
    <w:rsid w:val="003F37D2"/>
    <w:rsid w:val="003F381C"/>
    <w:rsid w:val="003F3B1D"/>
    <w:rsid w:val="003F3E30"/>
    <w:rsid w:val="003F54C7"/>
    <w:rsid w:val="003F5A4E"/>
    <w:rsid w:val="003F66AE"/>
    <w:rsid w:val="003F6D58"/>
    <w:rsid w:val="003F75F8"/>
    <w:rsid w:val="00400099"/>
    <w:rsid w:val="00400EC5"/>
    <w:rsid w:val="004026FB"/>
    <w:rsid w:val="00402727"/>
    <w:rsid w:val="00402818"/>
    <w:rsid w:val="0040330D"/>
    <w:rsid w:val="00404209"/>
    <w:rsid w:val="00405B01"/>
    <w:rsid w:val="00406472"/>
    <w:rsid w:val="00406685"/>
    <w:rsid w:val="00406BD4"/>
    <w:rsid w:val="004071A7"/>
    <w:rsid w:val="00407343"/>
    <w:rsid w:val="004108D4"/>
    <w:rsid w:val="004123AB"/>
    <w:rsid w:val="004127B7"/>
    <w:rsid w:val="00412DC6"/>
    <w:rsid w:val="004130C6"/>
    <w:rsid w:val="004131B5"/>
    <w:rsid w:val="004131FA"/>
    <w:rsid w:val="0041470C"/>
    <w:rsid w:val="00414DE9"/>
    <w:rsid w:val="004154A6"/>
    <w:rsid w:val="00415708"/>
    <w:rsid w:val="00416594"/>
    <w:rsid w:val="0041682B"/>
    <w:rsid w:val="00417746"/>
    <w:rsid w:val="00417B8B"/>
    <w:rsid w:val="00420900"/>
    <w:rsid w:val="00422AE3"/>
    <w:rsid w:val="00422E79"/>
    <w:rsid w:val="0042493E"/>
    <w:rsid w:val="00424EA4"/>
    <w:rsid w:val="00425661"/>
    <w:rsid w:val="004259FF"/>
    <w:rsid w:val="00426047"/>
    <w:rsid w:val="004262BD"/>
    <w:rsid w:val="00427241"/>
    <w:rsid w:val="004273A9"/>
    <w:rsid w:val="00427A2D"/>
    <w:rsid w:val="00430061"/>
    <w:rsid w:val="00430AE5"/>
    <w:rsid w:val="00431F96"/>
    <w:rsid w:val="0043206A"/>
    <w:rsid w:val="0043278E"/>
    <w:rsid w:val="004329CF"/>
    <w:rsid w:val="004331DB"/>
    <w:rsid w:val="00433ACF"/>
    <w:rsid w:val="00433EA0"/>
    <w:rsid w:val="00434176"/>
    <w:rsid w:val="004341CE"/>
    <w:rsid w:val="004344EC"/>
    <w:rsid w:val="00434A81"/>
    <w:rsid w:val="00435457"/>
    <w:rsid w:val="00435576"/>
    <w:rsid w:val="00436136"/>
    <w:rsid w:val="00436F6C"/>
    <w:rsid w:val="00437923"/>
    <w:rsid w:val="00437F4F"/>
    <w:rsid w:val="004407F6"/>
    <w:rsid w:val="004412EB"/>
    <w:rsid w:val="00442079"/>
    <w:rsid w:val="00442598"/>
    <w:rsid w:val="00443D19"/>
    <w:rsid w:val="0044403E"/>
    <w:rsid w:val="0044466B"/>
    <w:rsid w:val="00444FBF"/>
    <w:rsid w:val="0044517C"/>
    <w:rsid w:val="00445CE1"/>
    <w:rsid w:val="004461A2"/>
    <w:rsid w:val="004467C7"/>
    <w:rsid w:val="00446A88"/>
    <w:rsid w:val="00447789"/>
    <w:rsid w:val="00450719"/>
    <w:rsid w:val="00450B7A"/>
    <w:rsid w:val="00450DBA"/>
    <w:rsid w:val="004520A2"/>
    <w:rsid w:val="004524F6"/>
    <w:rsid w:val="00452AFE"/>
    <w:rsid w:val="00453306"/>
    <w:rsid w:val="00454AEE"/>
    <w:rsid w:val="004560C3"/>
    <w:rsid w:val="00456340"/>
    <w:rsid w:val="004564AB"/>
    <w:rsid w:val="00456F7F"/>
    <w:rsid w:val="0045715B"/>
    <w:rsid w:val="00460571"/>
    <w:rsid w:val="00461152"/>
    <w:rsid w:val="00461216"/>
    <w:rsid w:val="00462929"/>
    <w:rsid w:val="004638F2"/>
    <w:rsid w:val="00463C55"/>
    <w:rsid w:val="00464009"/>
    <w:rsid w:val="0046424C"/>
    <w:rsid w:val="004656D0"/>
    <w:rsid w:val="00467C4D"/>
    <w:rsid w:val="00467F7D"/>
    <w:rsid w:val="004703DF"/>
    <w:rsid w:val="00471096"/>
    <w:rsid w:val="00472988"/>
    <w:rsid w:val="00472B7C"/>
    <w:rsid w:val="00472DE9"/>
    <w:rsid w:val="0047380A"/>
    <w:rsid w:val="004744B6"/>
    <w:rsid w:val="00474BD5"/>
    <w:rsid w:val="004761B5"/>
    <w:rsid w:val="004765F8"/>
    <w:rsid w:val="00476ABE"/>
    <w:rsid w:val="00482D30"/>
    <w:rsid w:val="00483351"/>
    <w:rsid w:val="00483D8E"/>
    <w:rsid w:val="00485209"/>
    <w:rsid w:val="00485D21"/>
    <w:rsid w:val="004874A3"/>
    <w:rsid w:val="004874D5"/>
    <w:rsid w:val="0048774E"/>
    <w:rsid w:val="00490281"/>
    <w:rsid w:val="00492B2B"/>
    <w:rsid w:val="00492E56"/>
    <w:rsid w:val="00492F15"/>
    <w:rsid w:val="0049332A"/>
    <w:rsid w:val="0049423E"/>
    <w:rsid w:val="004942F3"/>
    <w:rsid w:val="00494EEB"/>
    <w:rsid w:val="00495368"/>
    <w:rsid w:val="00495508"/>
    <w:rsid w:val="004959F2"/>
    <w:rsid w:val="00496322"/>
    <w:rsid w:val="00496943"/>
    <w:rsid w:val="00496B29"/>
    <w:rsid w:val="0049732C"/>
    <w:rsid w:val="004A04E9"/>
    <w:rsid w:val="004A0E58"/>
    <w:rsid w:val="004A1431"/>
    <w:rsid w:val="004A232E"/>
    <w:rsid w:val="004A25D9"/>
    <w:rsid w:val="004A2701"/>
    <w:rsid w:val="004A2C82"/>
    <w:rsid w:val="004A36DC"/>
    <w:rsid w:val="004A43A4"/>
    <w:rsid w:val="004A506C"/>
    <w:rsid w:val="004A55D9"/>
    <w:rsid w:val="004A688F"/>
    <w:rsid w:val="004A6993"/>
    <w:rsid w:val="004A7753"/>
    <w:rsid w:val="004B0090"/>
    <w:rsid w:val="004B0507"/>
    <w:rsid w:val="004B102E"/>
    <w:rsid w:val="004B1D67"/>
    <w:rsid w:val="004B23A4"/>
    <w:rsid w:val="004B4984"/>
    <w:rsid w:val="004B5220"/>
    <w:rsid w:val="004B617F"/>
    <w:rsid w:val="004B75E3"/>
    <w:rsid w:val="004B76F1"/>
    <w:rsid w:val="004C0A04"/>
    <w:rsid w:val="004C1F44"/>
    <w:rsid w:val="004C3D1A"/>
    <w:rsid w:val="004C423F"/>
    <w:rsid w:val="004C4291"/>
    <w:rsid w:val="004C4EA5"/>
    <w:rsid w:val="004C4FC7"/>
    <w:rsid w:val="004C51B9"/>
    <w:rsid w:val="004C6B2B"/>
    <w:rsid w:val="004C6DC5"/>
    <w:rsid w:val="004C7894"/>
    <w:rsid w:val="004D04BE"/>
    <w:rsid w:val="004D1098"/>
    <w:rsid w:val="004D1B35"/>
    <w:rsid w:val="004D1B4C"/>
    <w:rsid w:val="004D36C2"/>
    <w:rsid w:val="004D387E"/>
    <w:rsid w:val="004D3A41"/>
    <w:rsid w:val="004D3B40"/>
    <w:rsid w:val="004D3C9D"/>
    <w:rsid w:val="004D41E4"/>
    <w:rsid w:val="004D438D"/>
    <w:rsid w:val="004D4810"/>
    <w:rsid w:val="004D5105"/>
    <w:rsid w:val="004D579A"/>
    <w:rsid w:val="004D599A"/>
    <w:rsid w:val="004D600D"/>
    <w:rsid w:val="004D6953"/>
    <w:rsid w:val="004D6A65"/>
    <w:rsid w:val="004D73B7"/>
    <w:rsid w:val="004D746F"/>
    <w:rsid w:val="004D772F"/>
    <w:rsid w:val="004E089D"/>
    <w:rsid w:val="004E08E7"/>
    <w:rsid w:val="004E0BB4"/>
    <w:rsid w:val="004E0D0B"/>
    <w:rsid w:val="004E15DD"/>
    <w:rsid w:val="004E164A"/>
    <w:rsid w:val="004E430C"/>
    <w:rsid w:val="004E4C8E"/>
    <w:rsid w:val="004E4D36"/>
    <w:rsid w:val="004E50CA"/>
    <w:rsid w:val="004E573B"/>
    <w:rsid w:val="004E5DB4"/>
    <w:rsid w:val="004E69BF"/>
    <w:rsid w:val="004E75F8"/>
    <w:rsid w:val="004F1429"/>
    <w:rsid w:val="004F1664"/>
    <w:rsid w:val="004F2B3D"/>
    <w:rsid w:val="004F2D16"/>
    <w:rsid w:val="004F3099"/>
    <w:rsid w:val="004F3B1A"/>
    <w:rsid w:val="004F3EFA"/>
    <w:rsid w:val="004F4037"/>
    <w:rsid w:val="004F4A0F"/>
    <w:rsid w:val="004F4ABC"/>
    <w:rsid w:val="004F4C3E"/>
    <w:rsid w:val="004F4C77"/>
    <w:rsid w:val="004F5450"/>
    <w:rsid w:val="004F6030"/>
    <w:rsid w:val="00500F0B"/>
    <w:rsid w:val="00501306"/>
    <w:rsid w:val="00501A21"/>
    <w:rsid w:val="00501ABE"/>
    <w:rsid w:val="00501FCF"/>
    <w:rsid w:val="005028EC"/>
    <w:rsid w:val="00502AC7"/>
    <w:rsid w:val="00505520"/>
    <w:rsid w:val="005058AE"/>
    <w:rsid w:val="0050795E"/>
    <w:rsid w:val="00510119"/>
    <w:rsid w:val="00510B9F"/>
    <w:rsid w:val="00510D41"/>
    <w:rsid w:val="005110E5"/>
    <w:rsid w:val="00511EA1"/>
    <w:rsid w:val="0051296A"/>
    <w:rsid w:val="00512E92"/>
    <w:rsid w:val="005135FA"/>
    <w:rsid w:val="005139F2"/>
    <w:rsid w:val="005139F4"/>
    <w:rsid w:val="00514675"/>
    <w:rsid w:val="00514754"/>
    <w:rsid w:val="005147C9"/>
    <w:rsid w:val="0051504E"/>
    <w:rsid w:val="005154D0"/>
    <w:rsid w:val="005157A3"/>
    <w:rsid w:val="00515BD6"/>
    <w:rsid w:val="00517B63"/>
    <w:rsid w:val="00517C9F"/>
    <w:rsid w:val="005203D5"/>
    <w:rsid w:val="00521885"/>
    <w:rsid w:val="005232AA"/>
    <w:rsid w:val="00523714"/>
    <w:rsid w:val="00523FE8"/>
    <w:rsid w:val="00524729"/>
    <w:rsid w:val="0052579F"/>
    <w:rsid w:val="0052594D"/>
    <w:rsid w:val="0052692E"/>
    <w:rsid w:val="00526A2F"/>
    <w:rsid w:val="00526BBC"/>
    <w:rsid w:val="00527983"/>
    <w:rsid w:val="0053192F"/>
    <w:rsid w:val="00531F00"/>
    <w:rsid w:val="00532377"/>
    <w:rsid w:val="00532617"/>
    <w:rsid w:val="005329E9"/>
    <w:rsid w:val="0053364E"/>
    <w:rsid w:val="005338B6"/>
    <w:rsid w:val="00534079"/>
    <w:rsid w:val="005345AA"/>
    <w:rsid w:val="00534951"/>
    <w:rsid w:val="00535B84"/>
    <w:rsid w:val="00535F80"/>
    <w:rsid w:val="00536BB9"/>
    <w:rsid w:val="0053754C"/>
    <w:rsid w:val="005415A2"/>
    <w:rsid w:val="00541F2F"/>
    <w:rsid w:val="005429DE"/>
    <w:rsid w:val="005435A2"/>
    <w:rsid w:val="005436E2"/>
    <w:rsid w:val="0054401C"/>
    <w:rsid w:val="0054556D"/>
    <w:rsid w:val="00545C15"/>
    <w:rsid w:val="00545C99"/>
    <w:rsid w:val="00545FE3"/>
    <w:rsid w:val="005467B2"/>
    <w:rsid w:val="005468FB"/>
    <w:rsid w:val="00546D3B"/>
    <w:rsid w:val="00547F50"/>
    <w:rsid w:val="00550362"/>
    <w:rsid w:val="00550DF0"/>
    <w:rsid w:val="0055128B"/>
    <w:rsid w:val="00551970"/>
    <w:rsid w:val="0055245F"/>
    <w:rsid w:val="005534F7"/>
    <w:rsid w:val="00553E47"/>
    <w:rsid w:val="005550E1"/>
    <w:rsid w:val="005564B0"/>
    <w:rsid w:val="005573DB"/>
    <w:rsid w:val="0055741F"/>
    <w:rsid w:val="005578DC"/>
    <w:rsid w:val="00557A51"/>
    <w:rsid w:val="0056118F"/>
    <w:rsid w:val="005621C3"/>
    <w:rsid w:val="00562464"/>
    <w:rsid w:val="005629DD"/>
    <w:rsid w:val="00562B17"/>
    <w:rsid w:val="00562CDC"/>
    <w:rsid w:val="005636ED"/>
    <w:rsid w:val="00563D19"/>
    <w:rsid w:val="00565425"/>
    <w:rsid w:val="0056547C"/>
    <w:rsid w:val="00566394"/>
    <w:rsid w:val="005669CC"/>
    <w:rsid w:val="00567413"/>
    <w:rsid w:val="005675B0"/>
    <w:rsid w:val="00567D8E"/>
    <w:rsid w:val="005702CD"/>
    <w:rsid w:val="005706F0"/>
    <w:rsid w:val="00570B97"/>
    <w:rsid w:val="00570DC1"/>
    <w:rsid w:val="00571295"/>
    <w:rsid w:val="00572333"/>
    <w:rsid w:val="0057320F"/>
    <w:rsid w:val="0057395C"/>
    <w:rsid w:val="00573B86"/>
    <w:rsid w:val="00574A7E"/>
    <w:rsid w:val="005753B0"/>
    <w:rsid w:val="00575474"/>
    <w:rsid w:val="005755A5"/>
    <w:rsid w:val="00575AF6"/>
    <w:rsid w:val="00576E50"/>
    <w:rsid w:val="00577140"/>
    <w:rsid w:val="005806A8"/>
    <w:rsid w:val="00581374"/>
    <w:rsid w:val="00581BA6"/>
    <w:rsid w:val="00582EB4"/>
    <w:rsid w:val="00583026"/>
    <w:rsid w:val="00583ED4"/>
    <w:rsid w:val="005842F0"/>
    <w:rsid w:val="00584F49"/>
    <w:rsid w:val="005850D9"/>
    <w:rsid w:val="005862B1"/>
    <w:rsid w:val="00586FE5"/>
    <w:rsid w:val="0058724B"/>
    <w:rsid w:val="00590285"/>
    <w:rsid w:val="005914EB"/>
    <w:rsid w:val="0059240B"/>
    <w:rsid w:val="00592BFB"/>
    <w:rsid w:val="00592E73"/>
    <w:rsid w:val="00592F64"/>
    <w:rsid w:val="005933E3"/>
    <w:rsid w:val="00593827"/>
    <w:rsid w:val="00593833"/>
    <w:rsid w:val="00594345"/>
    <w:rsid w:val="0059493A"/>
    <w:rsid w:val="0059564A"/>
    <w:rsid w:val="005966AA"/>
    <w:rsid w:val="00596959"/>
    <w:rsid w:val="00597B65"/>
    <w:rsid w:val="00597B8F"/>
    <w:rsid w:val="00597D64"/>
    <w:rsid w:val="005A047B"/>
    <w:rsid w:val="005A067C"/>
    <w:rsid w:val="005A1934"/>
    <w:rsid w:val="005A3289"/>
    <w:rsid w:val="005A39E6"/>
    <w:rsid w:val="005A3F9B"/>
    <w:rsid w:val="005A5F4E"/>
    <w:rsid w:val="005A70B5"/>
    <w:rsid w:val="005B06BD"/>
    <w:rsid w:val="005B0ABE"/>
    <w:rsid w:val="005B0C5F"/>
    <w:rsid w:val="005B12B2"/>
    <w:rsid w:val="005B16DC"/>
    <w:rsid w:val="005B2E39"/>
    <w:rsid w:val="005B4784"/>
    <w:rsid w:val="005B48F0"/>
    <w:rsid w:val="005B4CA5"/>
    <w:rsid w:val="005B568D"/>
    <w:rsid w:val="005B56B3"/>
    <w:rsid w:val="005B57DE"/>
    <w:rsid w:val="005B5E6E"/>
    <w:rsid w:val="005B76B4"/>
    <w:rsid w:val="005C07B0"/>
    <w:rsid w:val="005C113F"/>
    <w:rsid w:val="005C1770"/>
    <w:rsid w:val="005C2095"/>
    <w:rsid w:val="005C2C1A"/>
    <w:rsid w:val="005C31C3"/>
    <w:rsid w:val="005C3EB1"/>
    <w:rsid w:val="005C4B62"/>
    <w:rsid w:val="005C502B"/>
    <w:rsid w:val="005C5500"/>
    <w:rsid w:val="005C6309"/>
    <w:rsid w:val="005C756F"/>
    <w:rsid w:val="005C7684"/>
    <w:rsid w:val="005C7A05"/>
    <w:rsid w:val="005D0BC9"/>
    <w:rsid w:val="005D0E4B"/>
    <w:rsid w:val="005D21B4"/>
    <w:rsid w:val="005D304C"/>
    <w:rsid w:val="005D307B"/>
    <w:rsid w:val="005D3566"/>
    <w:rsid w:val="005D46EB"/>
    <w:rsid w:val="005D6739"/>
    <w:rsid w:val="005D6E52"/>
    <w:rsid w:val="005D7218"/>
    <w:rsid w:val="005E057A"/>
    <w:rsid w:val="005E07A9"/>
    <w:rsid w:val="005E1E54"/>
    <w:rsid w:val="005E1F65"/>
    <w:rsid w:val="005E26B4"/>
    <w:rsid w:val="005E3060"/>
    <w:rsid w:val="005E3CB8"/>
    <w:rsid w:val="005E4DAE"/>
    <w:rsid w:val="005E5358"/>
    <w:rsid w:val="005E6447"/>
    <w:rsid w:val="005E6E5D"/>
    <w:rsid w:val="005E70FC"/>
    <w:rsid w:val="005F0462"/>
    <w:rsid w:val="005F1222"/>
    <w:rsid w:val="005F1239"/>
    <w:rsid w:val="005F128C"/>
    <w:rsid w:val="005F12B9"/>
    <w:rsid w:val="005F27AD"/>
    <w:rsid w:val="005F2BA0"/>
    <w:rsid w:val="005F3276"/>
    <w:rsid w:val="005F3390"/>
    <w:rsid w:val="005F395F"/>
    <w:rsid w:val="005F3F16"/>
    <w:rsid w:val="005F44D6"/>
    <w:rsid w:val="005F5B82"/>
    <w:rsid w:val="005F6650"/>
    <w:rsid w:val="005F6FDC"/>
    <w:rsid w:val="005F7528"/>
    <w:rsid w:val="005F7A70"/>
    <w:rsid w:val="005F7D5B"/>
    <w:rsid w:val="006024E0"/>
    <w:rsid w:val="006029C5"/>
    <w:rsid w:val="006045C4"/>
    <w:rsid w:val="00604A88"/>
    <w:rsid w:val="0060500C"/>
    <w:rsid w:val="006054FF"/>
    <w:rsid w:val="006056F0"/>
    <w:rsid w:val="00605C5B"/>
    <w:rsid w:val="006060BB"/>
    <w:rsid w:val="00606445"/>
    <w:rsid w:val="0060690A"/>
    <w:rsid w:val="00606B35"/>
    <w:rsid w:val="00606C22"/>
    <w:rsid w:val="00607AD4"/>
    <w:rsid w:val="00610566"/>
    <w:rsid w:val="0061061E"/>
    <w:rsid w:val="00610E4A"/>
    <w:rsid w:val="0061146F"/>
    <w:rsid w:val="006118ED"/>
    <w:rsid w:val="00611A71"/>
    <w:rsid w:val="0061204E"/>
    <w:rsid w:val="00612B41"/>
    <w:rsid w:val="00612DBD"/>
    <w:rsid w:val="00614756"/>
    <w:rsid w:val="0061478E"/>
    <w:rsid w:val="00615D23"/>
    <w:rsid w:val="00616341"/>
    <w:rsid w:val="006166B2"/>
    <w:rsid w:val="006176AD"/>
    <w:rsid w:val="00617F42"/>
    <w:rsid w:val="006202AD"/>
    <w:rsid w:val="006213CF"/>
    <w:rsid w:val="00621447"/>
    <w:rsid w:val="00621B9F"/>
    <w:rsid w:val="00621E65"/>
    <w:rsid w:val="006221B1"/>
    <w:rsid w:val="00622612"/>
    <w:rsid w:val="006230B0"/>
    <w:rsid w:val="006238D8"/>
    <w:rsid w:val="00623A88"/>
    <w:rsid w:val="00623B7F"/>
    <w:rsid w:val="00624C3A"/>
    <w:rsid w:val="00625DEA"/>
    <w:rsid w:val="0062688E"/>
    <w:rsid w:val="00626F3C"/>
    <w:rsid w:val="0062749D"/>
    <w:rsid w:val="006279E9"/>
    <w:rsid w:val="00627A1D"/>
    <w:rsid w:val="00627A93"/>
    <w:rsid w:val="006302C7"/>
    <w:rsid w:val="00630A24"/>
    <w:rsid w:val="00630F86"/>
    <w:rsid w:val="00631694"/>
    <w:rsid w:val="00631E77"/>
    <w:rsid w:val="00632740"/>
    <w:rsid w:val="00632D14"/>
    <w:rsid w:val="0063302E"/>
    <w:rsid w:val="006330AF"/>
    <w:rsid w:val="00633984"/>
    <w:rsid w:val="0063473E"/>
    <w:rsid w:val="0063598F"/>
    <w:rsid w:val="00635CE6"/>
    <w:rsid w:val="00636545"/>
    <w:rsid w:val="00636DD0"/>
    <w:rsid w:val="0063709D"/>
    <w:rsid w:val="00637928"/>
    <w:rsid w:val="00637D09"/>
    <w:rsid w:val="006419D0"/>
    <w:rsid w:val="006419F8"/>
    <w:rsid w:val="00641FD4"/>
    <w:rsid w:val="00642628"/>
    <w:rsid w:val="00642FE5"/>
    <w:rsid w:val="006433B3"/>
    <w:rsid w:val="00643FF5"/>
    <w:rsid w:val="0064422B"/>
    <w:rsid w:val="00644FA0"/>
    <w:rsid w:val="0064515F"/>
    <w:rsid w:val="0064631C"/>
    <w:rsid w:val="00646ABB"/>
    <w:rsid w:val="006473E7"/>
    <w:rsid w:val="00647C61"/>
    <w:rsid w:val="00650307"/>
    <w:rsid w:val="0065168D"/>
    <w:rsid w:val="00653CAA"/>
    <w:rsid w:val="00653DC8"/>
    <w:rsid w:val="0065452C"/>
    <w:rsid w:val="00654748"/>
    <w:rsid w:val="00655456"/>
    <w:rsid w:val="00656278"/>
    <w:rsid w:val="006569BC"/>
    <w:rsid w:val="006600F3"/>
    <w:rsid w:val="00660345"/>
    <w:rsid w:val="00660634"/>
    <w:rsid w:val="00661665"/>
    <w:rsid w:val="00661B28"/>
    <w:rsid w:val="00661D57"/>
    <w:rsid w:val="006627C7"/>
    <w:rsid w:val="006637EB"/>
    <w:rsid w:val="00663DEE"/>
    <w:rsid w:val="00664308"/>
    <w:rsid w:val="0066476D"/>
    <w:rsid w:val="0066527C"/>
    <w:rsid w:val="006656B7"/>
    <w:rsid w:val="00666810"/>
    <w:rsid w:val="00666AC3"/>
    <w:rsid w:val="006673AD"/>
    <w:rsid w:val="00670A0C"/>
    <w:rsid w:val="006714DF"/>
    <w:rsid w:val="00672DFE"/>
    <w:rsid w:val="00672E4F"/>
    <w:rsid w:val="00673F5E"/>
    <w:rsid w:val="00676018"/>
    <w:rsid w:val="00680396"/>
    <w:rsid w:val="00680FDA"/>
    <w:rsid w:val="0068109A"/>
    <w:rsid w:val="006812C5"/>
    <w:rsid w:val="006813BC"/>
    <w:rsid w:val="0068144D"/>
    <w:rsid w:val="00684789"/>
    <w:rsid w:val="0068495A"/>
    <w:rsid w:val="00684A92"/>
    <w:rsid w:val="00685603"/>
    <w:rsid w:val="00685BFE"/>
    <w:rsid w:val="0068613B"/>
    <w:rsid w:val="00686236"/>
    <w:rsid w:val="00686DB9"/>
    <w:rsid w:val="00687802"/>
    <w:rsid w:val="00687DBB"/>
    <w:rsid w:val="00687FB4"/>
    <w:rsid w:val="006911CA"/>
    <w:rsid w:val="0069158A"/>
    <w:rsid w:val="0069174D"/>
    <w:rsid w:val="00691E1B"/>
    <w:rsid w:val="00691FD5"/>
    <w:rsid w:val="006926FF"/>
    <w:rsid w:val="0069308C"/>
    <w:rsid w:val="006931A2"/>
    <w:rsid w:val="006934F0"/>
    <w:rsid w:val="0069459A"/>
    <w:rsid w:val="006951BD"/>
    <w:rsid w:val="00695A89"/>
    <w:rsid w:val="006961F7"/>
    <w:rsid w:val="00696D3C"/>
    <w:rsid w:val="006974A9"/>
    <w:rsid w:val="006A0753"/>
    <w:rsid w:val="006A0972"/>
    <w:rsid w:val="006A0DB7"/>
    <w:rsid w:val="006A0DCF"/>
    <w:rsid w:val="006A2BDB"/>
    <w:rsid w:val="006A2C55"/>
    <w:rsid w:val="006A323B"/>
    <w:rsid w:val="006A3410"/>
    <w:rsid w:val="006A3F22"/>
    <w:rsid w:val="006A4A49"/>
    <w:rsid w:val="006A5271"/>
    <w:rsid w:val="006A7680"/>
    <w:rsid w:val="006A7A22"/>
    <w:rsid w:val="006B0384"/>
    <w:rsid w:val="006B05A6"/>
    <w:rsid w:val="006B0AB4"/>
    <w:rsid w:val="006B0D64"/>
    <w:rsid w:val="006B0F1A"/>
    <w:rsid w:val="006B1134"/>
    <w:rsid w:val="006B1958"/>
    <w:rsid w:val="006B1E4C"/>
    <w:rsid w:val="006B1E7B"/>
    <w:rsid w:val="006B2585"/>
    <w:rsid w:val="006B2594"/>
    <w:rsid w:val="006B26B5"/>
    <w:rsid w:val="006B32A3"/>
    <w:rsid w:val="006B35CA"/>
    <w:rsid w:val="006B3FAF"/>
    <w:rsid w:val="006B4366"/>
    <w:rsid w:val="006B43FA"/>
    <w:rsid w:val="006B4DF0"/>
    <w:rsid w:val="006B5B90"/>
    <w:rsid w:val="006B6449"/>
    <w:rsid w:val="006B6FA4"/>
    <w:rsid w:val="006B721C"/>
    <w:rsid w:val="006B7798"/>
    <w:rsid w:val="006C0152"/>
    <w:rsid w:val="006C17AF"/>
    <w:rsid w:val="006C1AF6"/>
    <w:rsid w:val="006C237C"/>
    <w:rsid w:val="006C312E"/>
    <w:rsid w:val="006C4623"/>
    <w:rsid w:val="006C4C5D"/>
    <w:rsid w:val="006C54B2"/>
    <w:rsid w:val="006C6B44"/>
    <w:rsid w:val="006D238A"/>
    <w:rsid w:val="006D409A"/>
    <w:rsid w:val="006D4FBD"/>
    <w:rsid w:val="006D545A"/>
    <w:rsid w:val="006D55E1"/>
    <w:rsid w:val="006D58AC"/>
    <w:rsid w:val="006D5E23"/>
    <w:rsid w:val="006D67DA"/>
    <w:rsid w:val="006D77C0"/>
    <w:rsid w:val="006D7B79"/>
    <w:rsid w:val="006D7D29"/>
    <w:rsid w:val="006E00FE"/>
    <w:rsid w:val="006E020F"/>
    <w:rsid w:val="006E3678"/>
    <w:rsid w:val="006E4487"/>
    <w:rsid w:val="006E4AD6"/>
    <w:rsid w:val="006E584D"/>
    <w:rsid w:val="006E5870"/>
    <w:rsid w:val="006E70D4"/>
    <w:rsid w:val="006E7372"/>
    <w:rsid w:val="006E7EFD"/>
    <w:rsid w:val="006F0399"/>
    <w:rsid w:val="006F0441"/>
    <w:rsid w:val="006F1911"/>
    <w:rsid w:val="006F1A07"/>
    <w:rsid w:val="006F1B51"/>
    <w:rsid w:val="006F2DD1"/>
    <w:rsid w:val="006F2E5F"/>
    <w:rsid w:val="006F2F07"/>
    <w:rsid w:val="006F3455"/>
    <w:rsid w:val="006F383B"/>
    <w:rsid w:val="006F41C9"/>
    <w:rsid w:val="006F44B4"/>
    <w:rsid w:val="006F49C1"/>
    <w:rsid w:val="006F4E07"/>
    <w:rsid w:val="006F5506"/>
    <w:rsid w:val="006F5941"/>
    <w:rsid w:val="00700C71"/>
    <w:rsid w:val="007011BD"/>
    <w:rsid w:val="0070134A"/>
    <w:rsid w:val="0070194D"/>
    <w:rsid w:val="00702441"/>
    <w:rsid w:val="00703EC0"/>
    <w:rsid w:val="00704A03"/>
    <w:rsid w:val="00704AF8"/>
    <w:rsid w:val="007050E8"/>
    <w:rsid w:val="0070510B"/>
    <w:rsid w:val="007060B4"/>
    <w:rsid w:val="00706300"/>
    <w:rsid w:val="00706368"/>
    <w:rsid w:val="0070732B"/>
    <w:rsid w:val="0070752C"/>
    <w:rsid w:val="00707818"/>
    <w:rsid w:val="00710549"/>
    <w:rsid w:val="007108A7"/>
    <w:rsid w:val="00711F16"/>
    <w:rsid w:val="00712907"/>
    <w:rsid w:val="0071504F"/>
    <w:rsid w:val="007154A4"/>
    <w:rsid w:val="00715E25"/>
    <w:rsid w:val="0071638A"/>
    <w:rsid w:val="00716938"/>
    <w:rsid w:val="0071709B"/>
    <w:rsid w:val="007203FF"/>
    <w:rsid w:val="007215C1"/>
    <w:rsid w:val="00721F23"/>
    <w:rsid w:val="00721F29"/>
    <w:rsid w:val="007227C9"/>
    <w:rsid w:val="007229ED"/>
    <w:rsid w:val="007241C3"/>
    <w:rsid w:val="00724F84"/>
    <w:rsid w:val="00725505"/>
    <w:rsid w:val="0072692C"/>
    <w:rsid w:val="00727FEA"/>
    <w:rsid w:val="00730E7B"/>
    <w:rsid w:val="007330EC"/>
    <w:rsid w:val="007339A3"/>
    <w:rsid w:val="00733E97"/>
    <w:rsid w:val="00733F63"/>
    <w:rsid w:val="00733FA1"/>
    <w:rsid w:val="00734BD4"/>
    <w:rsid w:val="00734CE4"/>
    <w:rsid w:val="00735810"/>
    <w:rsid w:val="0073603E"/>
    <w:rsid w:val="0073606E"/>
    <w:rsid w:val="0073715B"/>
    <w:rsid w:val="00737899"/>
    <w:rsid w:val="00737B83"/>
    <w:rsid w:val="00740660"/>
    <w:rsid w:val="007407B4"/>
    <w:rsid w:val="0074131C"/>
    <w:rsid w:val="007417A2"/>
    <w:rsid w:val="00742534"/>
    <w:rsid w:val="007437AC"/>
    <w:rsid w:val="007438BC"/>
    <w:rsid w:val="00743E66"/>
    <w:rsid w:val="00744B28"/>
    <w:rsid w:val="00744C52"/>
    <w:rsid w:val="007453CF"/>
    <w:rsid w:val="00745B66"/>
    <w:rsid w:val="00745E28"/>
    <w:rsid w:val="0074617E"/>
    <w:rsid w:val="00746F8C"/>
    <w:rsid w:val="007478D1"/>
    <w:rsid w:val="007503EB"/>
    <w:rsid w:val="00750A23"/>
    <w:rsid w:val="00750F5F"/>
    <w:rsid w:val="00751159"/>
    <w:rsid w:val="00751297"/>
    <w:rsid w:val="00751699"/>
    <w:rsid w:val="00753937"/>
    <w:rsid w:val="00754D85"/>
    <w:rsid w:val="00754FD0"/>
    <w:rsid w:val="007550BA"/>
    <w:rsid w:val="00755F83"/>
    <w:rsid w:val="00756E5D"/>
    <w:rsid w:val="00757BBC"/>
    <w:rsid w:val="00757CD7"/>
    <w:rsid w:val="007608E6"/>
    <w:rsid w:val="007614C4"/>
    <w:rsid w:val="0076158C"/>
    <w:rsid w:val="007618E4"/>
    <w:rsid w:val="00762402"/>
    <w:rsid w:val="007639C9"/>
    <w:rsid w:val="00764B6D"/>
    <w:rsid w:val="00765698"/>
    <w:rsid w:val="00765979"/>
    <w:rsid w:val="00766452"/>
    <w:rsid w:val="00766E72"/>
    <w:rsid w:val="00767B59"/>
    <w:rsid w:val="007729CA"/>
    <w:rsid w:val="00772C9B"/>
    <w:rsid w:val="00773256"/>
    <w:rsid w:val="007736C5"/>
    <w:rsid w:val="0077422A"/>
    <w:rsid w:val="00774B38"/>
    <w:rsid w:val="00774F5C"/>
    <w:rsid w:val="00775073"/>
    <w:rsid w:val="0077548F"/>
    <w:rsid w:val="007761C9"/>
    <w:rsid w:val="007802CE"/>
    <w:rsid w:val="00780302"/>
    <w:rsid w:val="00780845"/>
    <w:rsid w:val="00780CF2"/>
    <w:rsid w:val="0078104A"/>
    <w:rsid w:val="00781B33"/>
    <w:rsid w:val="00781F4F"/>
    <w:rsid w:val="007826FF"/>
    <w:rsid w:val="0078289F"/>
    <w:rsid w:val="00783494"/>
    <w:rsid w:val="00784AC0"/>
    <w:rsid w:val="00784E0C"/>
    <w:rsid w:val="00784F2C"/>
    <w:rsid w:val="00785189"/>
    <w:rsid w:val="007854EF"/>
    <w:rsid w:val="00785B21"/>
    <w:rsid w:val="00785DBA"/>
    <w:rsid w:val="00785FBB"/>
    <w:rsid w:val="00787BAA"/>
    <w:rsid w:val="00791539"/>
    <w:rsid w:val="00791825"/>
    <w:rsid w:val="007926F2"/>
    <w:rsid w:val="00792904"/>
    <w:rsid w:val="00792CCA"/>
    <w:rsid w:val="0079313C"/>
    <w:rsid w:val="00793C90"/>
    <w:rsid w:val="00793E8A"/>
    <w:rsid w:val="00794753"/>
    <w:rsid w:val="00795381"/>
    <w:rsid w:val="007A0088"/>
    <w:rsid w:val="007A0885"/>
    <w:rsid w:val="007A0D7A"/>
    <w:rsid w:val="007A1A42"/>
    <w:rsid w:val="007A2215"/>
    <w:rsid w:val="007A23ED"/>
    <w:rsid w:val="007A2D94"/>
    <w:rsid w:val="007A352A"/>
    <w:rsid w:val="007A3637"/>
    <w:rsid w:val="007A39D8"/>
    <w:rsid w:val="007A46D5"/>
    <w:rsid w:val="007A6BDA"/>
    <w:rsid w:val="007A7366"/>
    <w:rsid w:val="007A7AD3"/>
    <w:rsid w:val="007A7DF2"/>
    <w:rsid w:val="007B0581"/>
    <w:rsid w:val="007B0701"/>
    <w:rsid w:val="007B20F4"/>
    <w:rsid w:val="007B2176"/>
    <w:rsid w:val="007B322E"/>
    <w:rsid w:val="007B330E"/>
    <w:rsid w:val="007B3E46"/>
    <w:rsid w:val="007B4024"/>
    <w:rsid w:val="007B4FEE"/>
    <w:rsid w:val="007B51BE"/>
    <w:rsid w:val="007B541E"/>
    <w:rsid w:val="007B5609"/>
    <w:rsid w:val="007B6DE0"/>
    <w:rsid w:val="007B7089"/>
    <w:rsid w:val="007B72EE"/>
    <w:rsid w:val="007C1730"/>
    <w:rsid w:val="007C1EEE"/>
    <w:rsid w:val="007C31B6"/>
    <w:rsid w:val="007C56B4"/>
    <w:rsid w:val="007C5DE0"/>
    <w:rsid w:val="007C7B4F"/>
    <w:rsid w:val="007C7E65"/>
    <w:rsid w:val="007D0299"/>
    <w:rsid w:val="007D0C8B"/>
    <w:rsid w:val="007D146B"/>
    <w:rsid w:val="007D1E1E"/>
    <w:rsid w:val="007D2A46"/>
    <w:rsid w:val="007D45D5"/>
    <w:rsid w:val="007D4B5C"/>
    <w:rsid w:val="007D5684"/>
    <w:rsid w:val="007D625A"/>
    <w:rsid w:val="007D64B4"/>
    <w:rsid w:val="007D67D8"/>
    <w:rsid w:val="007D6FE5"/>
    <w:rsid w:val="007D7A88"/>
    <w:rsid w:val="007E0891"/>
    <w:rsid w:val="007E172E"/>
    <w:rsid w:val="007E1BD9"/>
    <w:rsid w:val="007E1F28"/>
    <w:rsid w:val="007E2138"/>
    <w:rsid w:val="007E3012"/>
    <w:rsid w:val="007E3C12"/>
    <w:rsid w:val="007E4F47"/>
    <w:rsid w:val="007E540B"/>
    <w:rsid w:val="007E6A11"/>
    <w:rsid w:val="007E786C"/>
    <w:rsid w:val="007F0A6F"/>
    <w:rsid w:val="007F1E36"/>
    <w:rsid w:val="007F1E38"/>
    <w:rsid w:val="007F2A9F"/>
    <w:rsid w:val="007F2AA0"/>
    <w:rsid w:val="007F2EEC"/>
    <w:rsid w:val="007F3086"/>
    <w:rsid w:val="007F35A4"/>
    <w:rsid w:val="007F3850"/>
    <w:rsid w:val="007F3C37"/>
    <w:rsid w:val="007F4546"/>
    <w:rsid w:val="007F4D03"/>
    <w:rsid w:val="007F70FF"/>
    <w:rsid w:val="007F79BC"/>
    <w:rsid w:val="008004E0"/>
    <w:rsid w:val="00800A52"/>
    <w:rsid w:val="00800E9D"/>
    <w:rsid w:val="00801744"/>
    <w:rsid w:val="00801EEC"/>
    <w:rsid w:val="00802054"/>
    <w:rsid w:val="0080234A"/>
    <w:rsid w:val="00802B86"/>
    <w:rsid w:val="008039C6"/>
    <w:rsid w:val="00804B3E"/>
    <w:rsid w:val="00804F30"/>
    <w:rsid w:val="00804F83"/>
    <w:rsid w:val="00805545"/>
    <w:rsid w:val="008065FB"/>
    <w:rsid w:val="0080673B"/>
    <w:rsid w:val="00806CF2"/>
    <w:rsid w:val="00807107"/>
    <w:rsid w:val="008075C1"/>
    <w:rsid w:val="008077D9"/>
    <w:rsid w:val="00807DC9"/>
    <w:rsid w:val="00807E13"/>
    <w:rsid w:val="008103A4"/>
    <w:rsid w:val="008104BE"/>
    <w:rsid w:val="00812F4F"/>
    <w:rsid w:val="00815144"/>
    <w:rsid w:val="008153A4"/>
    <w:rsid w:val="0081760C"/>
    <w:rsid w:val="00820BF7"/>
    <w:rsid w:val="00820C34"/>
    <w:rsid w:val="008218A5"/>
    <w:rsid w:val="00821C6F"/>
    <w:rsid w:val="00821DE5"/>
    <w:rsid w:val="00821E65"/>
    <w:rsid w:val="00822B2A"/>
    <w:rsid w:val="00823A9F"/>
    <w:rsid w:val="00823B0A"/>
    <w:rsid w:val="00823B43"/>
    <w:rsid w:val="00823E87"/>
    <w:rsid w:val="008250F5"/>
    <w:rsid w:val="008271A5"/>
    <w:rsid w:val="00827361"/>
    <w:rsid w:val="008306B7"/>
    <w:rsid w:val="00831CA6"/>
    <w:rsid w:val="008330A9"/>
    <w:rsid w:val="00834458"/>
    <w:rsid w:val="008345E7"/>
    <w:rsid w:val="008346AD"/>
    <w:rsid w:val="00834B0D"/>
    <w:rsid w:val="00834F95"/>
    <w:rsid w:val="008357D1"/>
    <w:rsid w:val="00835B1B"/>
    <w:rsid w:val="00836C08"/>
    <w:rsid w:val="00836DC0"/>
    <w:rsid w:val="008402D0"/>
    <w:rsid w:val="00840CCD"/>
    <w:rsid w:val="00840D3C"/>
    <w:rsid w:val="00840F02"/>
    <w:rsid w:val="00841754"/>
    <w:rsid w:val="008421EC"/>
    <w:rsid w:val="00842644"/>
    <w:rsid w:val="00843188"/>
    <w:rsid w:val="008459C5"/>
    <w:rsid w:val="008467C4"/>
    <w:rsid w:val="008469D9"/>
    <w:rsid w:val="00846B46"/>
    <w:rsid w:val="00847C9B"/>
    <w:rsid w:val="008500D9"/>
    <w:rsid w:val="00850BE1"/>
    <w:rsid w:val="0085183E"/>
    <w:rsid w:val="0085256D"/>
    <w:rsid w:val="008529F9"/>
    <w:rsid w:val="00852E0A"/>
    <w:rsid w:val="00852E2D"/>
    <w:rsid w:val="008532DB"/>
    <w:rsid w:val="008554BF"/>
    <w:rsid w:val="00856AE8"/>
    <w:rsid w:val="00857127"/>
    <w:rsid w:val="0085765C"/>
    <w:rsid w:val="00857688"/>
    <w:rsid w:val="00857878"/>
    <w:rsid w:val="00857A21"/>
    <w:rsid w:val="00860468"/>
    <w:rsid w:val="008610DD"/>
    <w:rsid w:val="00862C1A"/>
    <w:rsid w:val="00866C63"/>
    <w:rsid w:val="00867176"/>
    <w:rsid w:val="0086739E"/>
    <w:rsid w:val="00871792"/>
    <w:rsid w:val="0087196F"/>
    <w:rsid w:val="008719EF"/>
    <w:rsid w:val="00871C41"/>
    <w:rsid w:val="008725F2"/>
    <w:rsid w:val="00872C85"/>
    <w:rsid w:val="00872D9F"/>
    <w:rsid w:val="00873187"/>
    <w:rsid w:val="0087322D"/>
    <w:rsid w:val="008733BF"/>
    <w:rsid w:val="008744B2"/>
    <w:rsid w:val="008745B9"/>
    <w:rsid w:val="0087514F"/>
    <w:rsid w:val="008752C0"/>
    <w:rsid w:val="008754DD"/>
    <w:rsid w:val="0087571B"/>
    <w:rsid w:val="00876290"/>
    <w:rsid w:val="00876820"/>
    <w:rsid w:val="00880133"/>
    <w:rsid w:val="0088014C"/>
    <w:rsid w:val="00880810"/>
    <w:rsid w:val="00880EC3"/>
    <w:rsid w:val="00881535"/>
    <w:rsid w:val="00881788"/>
    <w:rsid w:val="008822CD"/>
    <w:rsid w:val="00882B1A"/>
    <w:rsid w:val="00882C85"/>
    <w:rsid w:val="0088334A"/>
    <w:rsid w:val="00883355"/>
    <w:rsid w:val="00883758"/>
    <w:rsid w:val="00883D9C"/>
    <w:rsid w:val="00885E57"/>
    <w:rsid w:val="00887AD8"/>
    <w:rsid w:val="00887BD2"/>
    <w:rsid w:val="00887D75"/>
    <w:rsid w:val="00887DD2"/>
    <w:rsid w:val="00887E07"/>
    <w:rsid w:val="00890298"/>
    <w:rsid w:val="0089153C"/>
    <w:rsid w:val="00891AE6"/>
    <w:rsid w:val="00891F31"/>
    <w:rsid w:val="0089261C"/>
    <w:rsid w:val="00892E09"/>
    <w:rsid w:val="0089324E"/>
    <w:rsid w:val="0089386D"/>
    <w:rsid w:val="00894C78"/>
    <w:rsid w:val="008950B6"/>
    <w:rsid w:val="00895103"/>
    <w:rsid w:val="00895967"/>
    <w:rsid w:val="008A0F9D"/>
    <w:rsid w:val="008A13BF"/>
    <w:rsid w:val="008A146B"/>
    <w:rsid w:val="008A1AA2"/>
    <w:rsid w:val="008A1E58"/>
    <w:rsid w:val="008A2826"/>
    <w:rsid w:val="008A2E84"/>
    <w:rsid w:val="008A34C4"/>
    <w:rsid w:val="008A3BC5"/>
    <w:rsid w:val="008A3DF4"/>
    <w:rsid w:val="008A3FCD"/>
    <w:rsid w:val="008A4166"/>
    <w:rsid w:val="008A53B1"/>
    <w:rsid w:val="008A591E"/>
    <w:rsid w:val="008A59DC"/>
    <w:rsid w:val="008A60F2"/>
    <w:rsid w:val="008A62ED"/>
    <w:rsid w:val="008A6544"/>
    <w:rsid w:val="008A76C8"/>
    <w:rsid w:val="008B2659"/>
    <w:rsid w:val="008B2874"/>
    <w:rsid w:val="008B2B7C"/>
    <w:rsid w:val="008B3C6F"/>
    <w:rsid w:val="008B415A"/>
    <w:rsid w:val="008B425A"/>
    <w:rsid w:val="008B4673"/>
    <w:rsid w:val="008B507C"/>
    <w:rsid w:val="008B5A23"/>
    <w:rsid w:val="008B5C7B"/>
    <w:rsid w:val="008B60B0"/>
    <w:rsid w:val="008B61FB"/>
    <w:rsid w:val="008B6AC0"/>
    <w:rsid w:val="008B76E8"/>
    <w:rsid w:val="008B7A12"/>
    <w:rsid w:val="008B7BE1"/>
    <w:rsid w:val="008C0C54"/>
    <w:rsid w:val="008C0E02"/>
    <w:rsid w:val="008C1121"/>
    <w:rsid w:val="008C1364"/>
    <w:rsid w:val="008C2584"/>
    <w:rsid w:val="008C25A6"/>
    <w:rsid w:val="008C3103"/>
    <w:rsid w:val="008C45C1"/>
    <w:rsid w:val="008C58A3"/>
    <w:rsid w:val="008C6D21"/>
    <w:rsid w:val="008C738B"/>
    <w:rsid w:val="008C7524"/>
    <w:rsid w:val="008C795D"/>
    <w:rsid w:val="008C7CF4"/>
    <w:rsid w:val="008D0986"/>
    <w:rsid w:val="008D1D22"/>
    <w:rsid w:val="008D1F3C"/>
    <w:rsid w:val="008D22BC"/>
    <w:rsid w:val="008D28AA"/>
    <w:rsid w:val="008D2B0B"/>
    <w:rsid w:val="008D2EED"/>
    <w:rsid w:val="008D3E61"/>
    <w:rsid w:val="008D44A1"/>
    <w:rsid w:val="008D5B78"/>
    <w:rsid w:val="008D6328"/>
    <w:rsid w:val="008D6655"/>
    <w:rsid w:val="008D76B7"/>
    <w:rsid w:val="008D793F"/>
    <w:rsid w:val="008E0BD4"/>
    <w:rsid w:val="008E161B"/>
    <w:rsid w:val="008E3A31"/>
    <w:rsid w:val="008E3C6C"/>
    <w:rsid w:val="008E4097"/>
    <w:rsid w:val="008E4468"/>
    <w:rsid w:val="008E44AA"/>
    <w:rsid w:val="008E44BB"/>
    <w:rsid w:val="008E4BA3"/>
    <w:rsid w:val="008E537B"/>
    <w:rsid w:val="008E698D"/>
    <w:rsid w:val="008E79A7"/>
    <w:rsid w:val="008F1012"/>
    <w:rsid w:val="008F15C7"/>
    <w:rsid w:val="008F2218"/>
    <w:rsid w:val="008F22D5"/>
    <w:rsid w:val="008F2864"/>
    <w:rsid w:val="008F371F"/>
    <w:rsid w:val="008F37D4"/>
    <w:rsid w:val="008F3ACA"/>
    <w:rsid w:val="008F3EC6"/>
    <w:rsid w:val="008F4548"/>
    <w:rsid w:val="008F5140"/>
    <w:rsid w:val="008F584A"/>
    <w:rsid w:val="008F70C8"/>
    <w:rsid w:val="008F7C75"/>
    <w:rsid w:val="00900589"/>
    <w:rsid w:val="0090094F"/>
    <w:rsid w:val="00902078"/>
    <w:rsid w:val="009026BB"/>
    <w:rsid w:val="00902872"/>
    <w:rsid w:val="009030F2"/>
    <w:rsid w:val="00904665"/>
    <w:rsid w:val="009047C8"/>
    <w:rsid w:val="00905097"/>
    <w:rsid w:val="009064A0"/>
    <w:rsid w:val="00910512"/>
    <w:rsid w:val="00910564"/>
    <w:rsid w:val="00910FF3"/>
    <w:rsid w:val="00911423"/>
    <w:rsid w:val="009127E3"/>
    <w:rsid w:val="00912D89"/>
    <w:rsid w:val="00913075"/>
    <w:rsid w:val="0091355B"/>
    <w:rsid w:val="0091530D"/>
    <w:rsid w:val="00915B81"/>
    <w:rsid w:val="00915EC1"/>
    <w:rsid w:val="009162DB"/>
    <w:rsid w:val="00916CD7"/>
    <w:rsid w:val="00917550"/>
    <w:rsid w:val="00917D75"/>
    <w:rsid w:val="009202FA"/>
    <w:rsid w:val="009206B7"/>
    <w:rsid w:val="00920C3A"/>
    <w:rsid w:val="00921548"/>
    <w:rsid w:val="00922250"/>
    <w:rsid w:val="00922362"/>
    <w:rsid w:val="0092327B"/>
    <w:rsid w:val="00923600"/>
    <w:rsid w:val="00923E5C"/>
    <w:rsid w:val="00923E93"/>
    <w:rsid w:val="00924E37"/>
    <w:rsid w:val="009259AB"/>
    <w:rsid w:val="00926956"/>
    <w:rsid w:val="009303E2"/>
    <w:rsid w:val="009312FF"/>
    <w:rsid w:val="00932AF7"/>
    <w:rsid w:val="009337AC"/>
    <w:rsid w:val="009344B3"/>
    <w:rsid w:val="00934BFA"/>
    <w:rsid w:val="0093514E"/>
    <w:rsid w:val="00935A9E"/>
    <w:rsid w:val="0093714E"/>
    <w:rsid w:val="009372B7"/>
    <w:rsid w:val="00937AE7"/>
    <w:rsid w:val="009400B5"/>
    <w:rsid w:val="00940606"/>
    <w:rsid w:val="009412D6"/>
    <w:rsid w:val="0094136B"/>
    <w:rsid w:val="00941AE9"/>
    <w:rsid w:val="00941D1D"/>
    <w:rsid w:val="009425C5"/>
    <w:rsid w:val="00942E3E"/>
    <w:rsid w:val="00943555"/>
    <w:rsid w:val="00944EFD"/>
    <w:rsid w:val="00946778"/>
    <w:rsid w:val="00947936"/>
    <w:rsid w:val="00950167"/>
    <w:rsid w:val="009501A0"/>
    <w:rsid w:val="00950433"/>
    <w:rsid w:val="00951F61"/>
    <w:rsid w:val="009527B9"/>
    <w:rsid w:val="00952E76"/>
    <w:rsid w:val="0095567C"/>
    <w:rsid w:val="00955F0B"/>
    <w:rsid w:val="009563C9"/>
    <w:rsid w:val="00956798"/>
    <w:rsid w:val="00956AC3"/>
    <w:rsid w:val="0095719D"/>
    <w:rsid w:val="00957EED"/>
    <w:rsid w:val="00960A38"/>
    <w:rsid w:val="00960F28"/>
    <w:rsid w:val="00961383"/>
    <w:rsid w:val="00961524"/>
    <w:rsid w:val="00962F81"/>
    <w:rsid w:val="00963150"/>
    <w:rsid w:val="009633DF"/>
    <w:rsid w:val="009637ED"/>
    <w:rsid w:val="009637EF"/>
    <w:rsid w:val="009643FD"/>
    <w:rsid w:val="00965265"/>
    <w:rsid w:val="00965668"/>
    <w:rsid w:val="009660E3"/>
    <w:rsid w:val="00966D44"/>
    <w:rsid w:val="00967601"/>
    <w:rsid w:val="00970DC2"/>
    <w:rsid w:val="009711CC"/>
    <w:rsid w:val="00971EB8"/>
    <w:rsid w:val="00972407"/>
    <w:rsid w:val="00972DDA"/>
    <w:rsid w:val="009737E5"/>
    <w:rsid w:val="00973901"/>
    <w:rsid w:val="0097428C"/>
    <w:rsid w:val="0097663F"/>
    <w:rsid w:val="0097690D"/>
    <w:rsid w:val="00976CF9"/>
    <w:rsid w:val="00977EB3"/>
    <w:rsid w:val="009806AF"/>
    <w:rsid w:val="00980CCB"/>
    <w:rsid w:val="009820AC"/>
    <w:rsid w:val="00982C0D"/>
    <w:rsid w:val="009837A7"/>
    <w:rsid w:val="009839A2"/>
    <w:rsid w:val="00983C9B"/>
    <w:rsid w:val="00983F46"/>
    <w:rsid w:val="009844CC"/>
    <w:rsid w:val="00984943"/>
    <w:rsid w:val="009853F3"/>
    <w:rsid w:val="00985944"/>
    <w:rsid w:val="00985C02"/>
    <w:rsid w:val="00986457"/>
    <w:rsid w:val="00986B89"/>
    <w:rsid w:val="00986D4E"/>
    <w:rsid w:val="00987278"/>
    <w:rsid w:val="0098748E"/>
    <w:rsid w:val="00987DD8"/>
    <w:rsid w:val="00987DF7"/>
    <w:rsid w:val="00992953"/>
    <w:rsid w:val="00992D06"/>
    <w:rsid w:val="009939A9"/>
    <w:rsid w:val="009943F9"/>
    <w:rsid w:val="00994DC8"/>
    <w:rsid w:val="0099543A"/>
    <w:rsid w:val="009955C4"/>
    <w:rsid w:val="00996E0E"/>
    <w:rsid w:val="009973BA"/>
    <w:rsid w:val="00997C14"/>
    <w:rsid w:val="009A0DEF"/>
    <w:rsid w:val="009A2587"/>
    <w:rsid w:val="009A293D"/>
    <w:rsid w:val="009A3546"/>
    <w:rsid w:val="009A367C"/>
    <w:rsid w:val="009A3F79"/>
    <w:rsid w:val="009A4401"/>
    <w:rsid w:val="009A565D"/>
    <w:rsid w:val="009A5740"/>
    <w:rsid w:val="009A5BBC"/>
    <w:rsid w:val="009B000E"/>
    <w:rsid w:val="009B06F3"/>
    <w:rsid w:val="009B0D26"/>
    <w:rsid w:val="009B1A45"/>
    <w:rsid w:val="009B3428"/>
    <w:rsid w:val="009B3AA4"/>
    <w:rsid w:val="009B3B82"/>
    <w:rsid w:val="009B4B35"/>
    <w:rsid w:val="009B502C"/>
    <w:rsid w:val="009B505F"/>
    <w:rsid w:val="009B5BC4"/>
    <w:rsid w:val="009B6EBE"/>
    <w:rsid w:val="009B744C"/>
    <w:rsid w:val="009C04E6"/>
    <w:rsid w:val="009C0753"/>
    <w:rsid w:val="009C1ABB"/>
    <w:rsid w:val="009C2951"/>
    <w:rsid w:val="009C310D"/>
    <w:rsid w:val="009C342A"/>
    <w:rsid w:val="009C4A40"/>
    <w:rsid w:val="009C5FB4"/>
    <w:rsid w:val="009C6860"/>
    <w:rsid w:val="009C6D34"/>
    <w:rsid w:val="009C7869"/>
    <w:rsid w:val="009D064D"/>
    <w:rsid w:val="009D06B1"/>
    <w:rsid w:val="009D1A70"/>
    <w:rsid w:val="009D1EBA"/>
    <w:rsid w:val="009D285D"/>
    <w:rsid w:val="009D3974"/>
    <w:rsid w:val="009D3D21"/>
    <w:rsid w:val="009D52F7"/>
    <w:rsid w:val="009D57F6"/>
    <w:rsid w:val="009D62D3"/>
    <w:rsid w:val="009D62E0"/>
    <w:rsid w:val="009D6879"/>
    <w:rsid w:val="009E0A59"/>
    <w:rsid w:val="009E1AE5"/>
    <w:rsid w:val="009E20C4"/>
    <w:rsid w:val="009E3545"/>
    <w:rsid w:val="009E3CE2"/>
    <w:rsid w:val="009E3D04"/>
    <w:rsid w:val="009E5509"/>
    <w:rsid w:val="009E6BA3"/>
    <w:rsid w:val="009E6C73"/>
    <w:rsid w:val="009F0DE5"/>
    <w:rsid w:val="009F0E3D"/>
    <w:rsid w:val="009F1067"/>
    <w:rsid w:val="009F1806"/>
    <w:rsid w:val="009F181E"/>
    <w:rsid w:val="009F1C22"/>
    <w:rsid w:val="009F216A"/>
    <w:rsid w:val="009F2C10"/>
    <w:rsid w:val="009F3709"/>
    <w:rsid w:val="009F3755"/>
    <w:rsid w:val="009F4370"/>
    <w:rsid w:val="009F521E"/>
    <w:rsid w:val="009F5BDE"/>
    <w:rsid w:val="009F5E7E"/>
    <w:rsid w:val="009F656C"/>
    <w:rsid w:val="009F7302"/>
    <w:rsid w:val="00A00794"/>
    <w:rsid w:val="00A00921"/>
    <w:rsid w:val="00A015DB"/>
    <w:rsid w:val="00A03205"/>
    <w:rsid w:val="00A038DD"/>
    <w:rsid w:val="00A04186"/>
    <w:rsid w:val="00A0474D"/>
    <w:rsid w:val="00A04CA3"/>
    <w:rsid w:val="00A0575B"/>
    <w:rsid w:val="00A05846"/>
    <w:rsid w:val="00A05979"/>
    <w:rsid w:val="00A05985"/>
    <w:rsid w:val="00A05B33"/>
    <w:rsid w:val="00A0602F"/>
    <w:rsid w:val="00A07959"/>
    <w:rsid w:val="00A07E1B"/>
    <w:rsid w:val="00A07EF8"/>
    <w:rsid w:val="00A102EE"/>
    <w:rsid w:val="00A10AC1"/>
    <w:rsid w:val="00A1150E"/>
    <w:rsid w:val="00A12BDA"/>
    <w:rsid w:val="00A13098"/>
    <w:rsid w:val="00A14225"/>
    <w:rsid w:val="00A1422A"/>
    <w:rsid w:val="00A1470F"/>
    <w:rsid w:val="00A154CA"/>
    <w:rsid w:val="00A155C1"/>
    <w:rsid w:val="00A15CCE"/>
    <w:rsid w:val="00A1648B"/>
    <w:rsid w:val="00A16873"/>
    <w:rsid w:val="00A17511"/>
    <w:rsid w:val="00A17E10"/>
    <w:rsid w:val="00A209C3"/>
    <w:rsid w:val="00A20D3C"/>
    <w:rsid w:val="00A214F5"/>
    <w:rsid w:val="00A21FD8"/>
    <w:rsid w:val="00A22421"/>
    <w:rsid w:val="00A226CB"/>
    <w:rsid w:val="00A2334E"/>
    <w:rsid w:val="00A25966"/>
    <w:rsid w:val="00A265C0"/>
    <w:rsid w:val="00A27135"/>
    <w:rsid w:val="00A27C65"/>
    <w:rsid w:val="00A27DE0"/>
    <w:rsid w:val="00A30159"/>
    <w:rsid w:val="00A30972"/>
    <w:rsid w:val="00A317DF"/>
    <w:rsid w:val="00A33394"/>
    <w:rsid w:val="00A340D2"/>
    <w:rsid w:val="00A34D5F"/>
    <w:rsid w:val="00A3742D"/>
    <w:rsid w:val="00A37B86"/>
    <w:rsid w:val="00A41312"/>
    <w:rsid w:val="00A41517"/>
    <w:rsid w:val="00A41DC8"/>
    <w:rsid w:val="00A42439"/>
    <w:rsid w:val="00A42AE1"/>
    <w:rsid w:val="00A4436A"/>
    <w:rsid w:val="00A4541F"/>
    <w:rsid w:val="00A45ABA"/>
    <w:rsid w:val="00A47DBA"/>
    <w:rsid w:val="00A47F65"/>
    <w:rsid w:val="00A51176"/>
    <w:rsid w:val="00A52002"/>
    <w:rsid w:val="00A528BD"/>
    <w:rsid w:val="00A52A8D"/>
    <w:rsid w:val="00A52F53"/>
    <w:rsid w:val="00A535F7"/>
    <w:rsid w:val="00A54C82"/>
    <w:rsid w:val="00A54CF8"/>
    <w:rsid w:val="00A552A2"/>
    <w:rsid w:val="00A5543B"/>
    <w:rsid w:val="00A55761"/>
    <w:rsid w:val="00A5587E"/>
    <w:rsid w:val="00A55C3D"/>
    <w:rsid w:val="00A5702C"/>
    <w:rsid w:val="00A6037B"/>
    <w:rsid w:val="00A60528"/>
    <w:rsid w:val="00A606FF"/>
    <w:rsid w:val="00A60804"/>
    <w:rsid w:val="00A61182"/>
    <w:rsid w:val="00A615BB"/>
    <w:rsid w:val="00A623D6"/>
    <w:rsid w:val="00A62EAD"/>
    <w:rsid w:val="00A63528"/>
    <w:rsid w:val="00A63D46"/>
    <w:rsid w:val="00A6406F"/>
    <w:rsid w:val="00A649A1"/>
    <w:rsid w:val="00A64A53"/>
    <w:rsid w:val="00A65E0D"/>
    <w:rsid w:val="00A65F87"/>
    <w:rsid w:val="00A667AA"/>
    <w:rsid w:val="00A66927"/>
    <w:rsid w:val="00A66C8E"/>
    <w:rsid w:val="00A670B3"/>
    <w:rsid w:val="00A6721A"/>
    <w:rsid w:val="00A674E1"/>
    <w:rsid w:val="00A67A4F"/>
    <w:rsid w:val="00A710BF"/>
    <w:rsid w:val="00A71BD5"/>
    <w:rsid w:val="00A7277B"/>
    <w:rsid w:val="00A73681"/>
    <w:rsid w:val="00A74105"/>
    <w:rsid w:val="00A74A84"/>
    <w:rsid w:val="00A74B83"/>
    <w:rsid w:val="00A75103"/>
    <w:rsid w:val="00A753BF"/>
    <w:rsid w:val="00A763E5"/>
    <w:rsid w:val="00A7644F"/>
    <w:rsid w:val="00A76624"/>
    <w:rsid w:val="00A7755A"/>
    <w:rsid w:val="00A77B90"/>
    <w:rsid w:val="00A803FF"/>
    <w:rsid w:val="00A80C58"/>
    <w:rsid w:val="00A80DCF"/>
    <w:rsid w:val="00A80F60"/>
    <w:rsid w:val="00A80F91"/>
    <w:rsid w:val="00A81C83"/>
    <w:rsid w:val="00A8209F"/>
    <w:rsid w:val="00A82AE3"/>
    <w:rsid w:val="00A8302F"/>
    <w:rsid w:val="00A84ED3"/>
    <w:rsid w:val="00A8654D"/>
    <w:rsid w:val="00A867B7"/>
    <w:rsid w:val="00A8681C"/>
    <w:rsid w:val="00A86842"/>
    <w:rsid w:val="00A8728B"/>
    <w:rsid w:val="00A87C11"/>
    <w:rsid w:val="00A9032F"/>
    <w:rsid w:val="00A90B9F"/>
    <w:rsid w:val="00A911D0"/>
    <w:rsid w:val="00A916D8"/>
    <w:rsid w:val="00A925A4"/>
    <w:rsid w:val="00A934C3"/>
    <w:rsid w:val="00A94BCF"/>
    <w:rsid w:val="00A95374"/>
    <w:rsid w:val="00A96DFB"/>
    <w:rsid w:val="00A97465"/>
    <w:rsid w:val="00A97C28"/>
    <w:rsid w:val="00AA0111"/>
    <w:rsid w:val="00AA0C68"/>
    <w:rsid w:val="00AA0DE0"/>
    <w:rsid w:val="00AA0F7E"/>
    <w:rsid w:val="00AA1103"/>
    <w:rsid w:val="00AA270F"/>
    <w:rsid w:val="00AA30A6"/>
    <w:rsid w:val="00AA3DD6"/>
    <w:rsid w:val="00AA4F97"/>
    <w:rsid w:val="00AA5803"/>
    <w:rsid w:val="00AA5BBD"/>
    <w:rsid w:val="00AA687D"/>
    <w:rsid w:val="00AA6B29"/>
    <w:rsid w:val="00AA7A35"/>
    <w:rsid w:val="00AB0571"/>
    <w:rsid w:val="00AB1ACC"/>
    <w:rsid w:val="00AB4976"/>
    <w:rsid w:val="00AB4ECA"/>
    <w:rsid w:val="00AB5645"/>
    <w:rsid w:val="00AB58EB"/>
    <w:rsid w:val="00AB5A30"/>
    <w:rsid w:val="00AB690A"/>
    <w:rsid w:val="00AB791C"/>
    <w:rsid w:val="00AB7AF8"/>
    <w:rsid w:val="00AC02CF"/>
    <w:rsid w:val="00AC1946"/>
    <w:rsid w:val="00AC3D56"/>
    <w:rsid w:val="00AC42A7"/>
    <w:rsid w:val="00AC4A1F"/>
    <w:rsid w:val="00AC4AE6"/>
    <w:rsid w:val="00AC4AF7"/>
    <w:rsid w:val="00AC4F99"/>
    <w:rsid w:val="00AC52A2"/>
    <w:rsid w:val="00AC5593"/>
    <w:rsid w:val="00AC56AA"/>
    <w:rsid w:val="00AC65CA"/>
    <w:rsid w:val="00AC795B"/>
    <w:rsid w:val="00AD25EC"/>
    <w:rsid w:val="00AD5096"/>
    <w:rsid w:val="00AD5E3A"/>
    <w:rsid w:val="00AD6A4F"/>
    <w:rsid w:val="00AD76D2"/>
    <w:rsid w:val="00AE003A"/>
    <w:rsid w:val="00AE0B6C"/>
    <w:rsid w:val="00AE0BBE"/>
    <w:rsid w:val="00AE1039"/>
    <w:rsid w:val="00AE10A1"/>
    <w:rsid w:val="00AE1451"/>
    <w:rsid w:val="00AE1563"/>
    <w:rsid w:val="00AE1BC1"/>
    <w:rsid w:val="00AE260A"/>
    <w:rsid w:val="00AE2D32"/>
    <w:rsid w:val="00AE3816"/>
    <w:rsid w:val="00AE40A5"/>
    <w:rsid w:val="00AE41AA"/>
    <w:rsid w:val="00AE4C86"/>
    <w:rsid w:val="00AE4CF9"/>
    <w:rsid w:val="00AE59B1"/>
    <w:rsid w:val="00AE69F4"/>
    <w:rsid w:val="00AE729D"/>
    <w:rsid w:val="00AE7610"/>
    <w:rsid w:val="00AE798F"/>
    <w:rsid w:val="00AF0271"/>
    <w:rsid w:val="00AF233B"/>
    <w:rsid w:val="00AF2874"/>
    <w:rsid w:val="00AF2AB6"/>
    <w:rsid w:val="00AF4077"/>
    <w:rsid w:val="00AF4748"/>
    <w:rsid w:val="00AF598B"/>
    <w:rsid w:val="00AF5F29"/>
    <w:rsid w:val="00AF6144"/>
    <w:rsid w:val="00AF6233"/>
    <w:rsid w:val="00AF64ED"/>
    <w:rsid w:val="00AF7326"/>
    <w:rsid w:val="00AF744B"/>
    <w:rsid w:val="00B003DB"/>
    <w:rsid w:val="00B004D8"/>
    <w:rsid w:val="00B00DB6"/>
    <w:rsid w:val="00B00F82"/>
    <w:rsid w:val="00B0136A"/>
    <w:rsid w:val="00B03396"/>
    <w:rsid w:val="00B053D6"/>
    <w:rsid w:val="00B05AA6"/>
    <w:rsid w:val="00B07D49"/>
    <w:rsid w:val="00B1001F"/>
    <w:rsid w:val="00B10BA3"/>
    <w:rsid w:val="00B11965"/>
    <w:rsid w:val="00B12431"/>
    <w:rsid w:val="00B12ED5"/>
    <w:rsid w:val="00B13C4A"/>
    <w:rsid w:val="00B1419E"/>
    <w:rsid w:val="00B1484B"/>
    <w:rsid w:val="00B14AE0"/>
    <w:rsid w:val="00B15058"/>
    <w:rsid w:val="00B161B8"/>
    <w:rsid w:val="00B16726"/>
    <w:rsid w:val="00B16BA3"/>
    <w:rsid w:val="00B16C70"/>
    <w:rsid w:val="00B17058"/>
    <w:rsid w:val="00B17D92"/>
    <w:rsid w:val="00B20F21"/>
    <w:rsid w:val="00B22CB7"/>
    <w:rsid w:val="00B233BC"/>
    <w:rsid w:val="00B23489"/>
    <w:rsid w:val="00B23CBD"/>
    <w:rsid w:val="00B25059"/>
    <w:rsid w:val="00B2535A"/>
    <w:rsid w:val="00B30DE3"/>
    <w:rsid w:val="00B31220"/>
    <w:rsid w:val="00B31F20"/>
    <w:rsid w:val="00B3274B"/>
    <w:rsid w:val="00B3288B"/>
    <w:rsid w:val="00B32BDA"/>
    <w:rsid w:val="00B332D5"/>
    <w:rsid w:val="00B3339B"/>
    <w:rsid w:val="00B339B3"/>
    <w:rsid w:val="00B352B6"/>
    <w:rsid w:val="00B35F71"/>
    <w:rsid w:val="00B37EED"/>
    <w:rsid w:val="00B40747"/>
    <w:rsid w:val="00B40A13"/>
    <w:rsid w:val="00B4107B"/>
    <w:rsid w:val="00B413FB"/>
    <w:rsid w:val="00B41672"/>
    <w:rsid w:val="00B41887"/>
    <w:rsid w:val="00B42CC4"/>
    <w:rsid w:val="00B42E30"/>
    <w:rsid w:val="00B4522D"/>
    <w:rsid w:val="00B4594C"/>
    <w:rsid w:val="00B4695D"/>
    <w:rsid w:val="00B46CFA"/>
    <w:rsid w:val="00B47CD6"/>
    <w:rsid w:val="00B47E18"/>
    <w:rsid w:val="00B50EB1"/>
    <w:rsid w:val="00B51051"/>
    <w:rsid w:val="00B517BD"/>
    <w:rsid w:val="00B51F16"/>
    <w:rsid w:val="00B51FA3"/>
    <w:rsid w:val="00B528D2"/>
    <w:rsid w:val="00B53083"/>
    <w:rsid w:val="00B53176"/>
    <w:rsid w:val="00B533E8"/>
    <w:rsid w:val="00B53CFC"/>
    <w:rsid w:val="00B53DEB"/>
    <w:rsid w:val="00B55F1C"/>
    <w:rsid w:val="00B56EF9"/>
    <w:rsid w:val="00B5744E"/>
    <w:rsid w:val="00B577C7"/>
    <w:rsid w:val="00B57DBF"/>
    <w:rsid w:val="00B614D9"/>
    <w:rsid w:val="00B61B3B"/>
    <w:rsid w:val="00B61DC6"/>
    <w:rsid w:val="00B62E93"/>
    <w:rsid w:val="00B645A2"/>
    <w:rsid w:val="00B64E73"/>
    <w:rsid w:val="00B65728"/>
    <w:rsid w:val="00B65BCE"/>
    <w:rsid w:val="00B679DB"/>
    <w:rsid w:val="00B705BF"/>
    <w:rsid w:val="00B706F3"/>
    <w:rsid w:val="00B70C51"/>
    <w:rsid w:val="00B70F41"/>
    <w:rsid w:val="00B70F4D"/>
    <w:rsid w:val="00B70F57"/>
    <w:rsid w:val="00B71684"/>
    <w:rsid w:val="00B7186B"/>
    <w:rsid w:val="00B72772"/>
    <w:rsid w:val="00B728B3"/>
    <w:rsid w:val="00B7348F"/>
    <w:rsid w:val="00B75309"/>
    <w:rsid w:val="00B76761"/>
    <w:rsid w:val="00B7678F"/>
    <w:rsid w:val="00B779B2"/>
    <w:rsid w:val="00B77C81"/>
    <w:rsid w:val="00B808DE"/>
    <w:rsid w:val="00B80E70"/>
    <w:rsid w:val="00B8119D"/>
    <w:rsid w:val="00B812C0"/>
    <w:rsid w:val="00B81FFD"/>
    <w:rsid w:val="00B82080"/>
    <w:rsid w:val="00B82887"/>
    <w:rsid w:val="00B82C4F"/>
    <w:rsid w:val="00B82FB1"/>
    <w:rsid w:val="00B8326A"/>
    <w:rsid w:val="00B83B30"/>
    <w:rsid w:val="00B83CB3"/>
    <w:rsid w:val="00B83DF8"/>
    <w:rsid w:val="00B8442C"/>
    <w:rsid w:val="00B8454B"/>
    <w:rsid w:val="00B84E43"/>
    <w:rsid w:val="00B85108"/>
    <w:rsid w:val="00B8571E"/>
    <w:rsid w:val="00B8576F"/>
    <w:rsid w:val="00B85B89"/>
    <w:rsid w:val="00B85C8D"/>
    <w:rsid w:val="00B90AEE"/>
    <w:rsid w:val="00B90C41"/>
    <w:rsid w:val="00B90D65"/>
    <w:rsid w:val="00B91585"/>
    <w:rsid w:val="00B917AC"/>
    <w:rsid w:val="00B918A1"/>
    <w:rsid w:val="00B9307B"/>
    <w:rsid w:val="00B932FD"/>
    <w:rsid w:val="00B940A9"/>
    <w:rsid w:val="00B9505C"/>
    <w:rsid w:val="00B95380"/>
    <w:rsid w:val="00B9591F"/>
    <w:rsid w:val="00B979F7"/>
    <w:rsid w:val="00B97C93"/>
    <w:rsid w:val="00BA038F"/>
    <w:rsid w:val="00BA0A54"/>
    <w:rsid w:val="00BA1295"/>
    <w:rsid w:val="00BA14AA"/>
    <w:rsid w:val="00BA25D2"/>
    <w:rsid w:val="00BA2951"/>
    <w:rsid w:val="00BA4486"/>
    <w:rsid w:val="00BA4817"/>
    <w:rsid w:val="00BA4842"/>
    <w:rsid w:val="00BA4C24"/>
    <w:rsid w:val="00BA55E6"/>
    <w:rsid w:val="00BA5C2B"/>
    <w:rsid w:val="00BA5C7D"/>
    <w:rsid w:val="00BA669D"/>
    <w:rsid w:val="00BA699E"/>
    <w:rsid w:val="00BA6B1A"/>
    <w:rsid w:val="00BA6F5F"/>
    <w:rsid w:val="00BA7CF0"/>
    <w:rsid w:val="00BB189B"/>
    <w:rsid w:val="00BB190B"/>
    <w:rsid w:val="00BB27E1"/>
    <w:rsid w:val="00BB335B"/>
    <w:rsid w:val="00BB3396"/>
    <w:rsid w:val="00BB3585"/>
    <w:rsid w:val="00BB3A58"/>
    <w:rsid w:val="00BB49DA"/>
    <w:rsid w:val="00BB51E6"/>
    <w:rsid w:val="00BB5FD9"/>
    <w:rsid w:val="00BB60FA"/>
    <w:rsid w:val="00BB6765"/>
    <w:rsid w:val="00BB67C0"/>
    <w:rsid w:val="00BB70F1"/>
    <w:rsid w:val="00BB71B5"/>
    <w:rsid w:val="00BB7492"/>
    <w:rsid w:val="00BC109F"/>
    <w:rsid w:val="00BC2879"/>
    <w:rsid w:val="00BC30C1"/>
    <w:rsid w:val="00BC3509"/>
    <w:rsid w:val="00BC3E71"/>
    <w:rsid w:val="00BC4CAA"/>
    <w:rsid w:val="00BC5136"/>
    <w:rsid w:val="00BC5644"/>
    <w:rsid w:val="00BC5E12"/>
    <w:rsid w:val="00BC5EA3"/>
    <w:rsid w:val="00BC5F28"/>
    <w:rsid w:val="00BC68CD"/>
    <w:rsid w:val="00BC69D7"/>
    <w:rsid w:val="00BC74B3"/>
    <w:rsid w:val="00BC74B6"/>
    <w:rsid w:val="00BC7723"/>
    <w:rsid w:val="00BD1E90"/>
    <w:rsid w:val="00BD3713"/>
    <w:rsid w:val="00BD4790"/>
    <w:rsid w:val="00BD4C85"/>
    <w:rsid w:val="00BD54A1"/>
    <w:rsid w:val="00BD577D"/>
    <w:rsid w:val="00BD5E74"/>
    <w:rsid w:val="00BD5FFB"/>
    <w:rsid w:val="00BD75A3"/>
    <w:rsid w:val="00BE0045"/>
    <w:rsid w:val="00BE00F4"/>
    <w:rsid w:val="00BE0E9B"/>
    <w:rsid w:val="00BE113D"/>
    <w:rsid w:val="00BE16F2"/>
    <w:rsid w:val="00BE2501"/>
    <w:rsid w:val="00BE3091"/>
    <w:rsid w:val="00BE4059"/>
    <w:rsid w:val="00BE4377"/>
    <w:rsid w:val="00BE5053"/>
    <w:rsid w:val="00BE6187"/>
    <w:rsid w:val="00BE7276"/>
    <w:rsid w:val="00BE745A"/>
    <w:rsid w:val="00BF02D6"/>
    <w:rsid w:val="00BF2709"/>
    <w:rsid w:val="00BF299E"/>
    <w:rsid w:val="00BF3173"/>
    <w:rsid w:val="00BF326D"/>
    <w:rsid w:val="00BF3662"/>
    <w:rsid w:val="00BF367A"/>
    <w:rsid w:val="00BF411D"/>
    <w:rsid w:val="00BF447B"/>
    <w:rsid w:val="00BF4772"/>
    <w:rsid w:val="00BF4B44"/>
    <w:rsid w:val="00BF55CA"/>
    <w:rsid w:val="00BF6B28"/>
    <w:rsid w:val="00C00A79"/>
    <w:rsid w:val="00C017E0"/>
    <w:rsid w:val="00C01E33"/>
    <w:rsid w:val="00C03540"/>
    <w:rsid w:val="00C03C87"/>
    <w:rsid w:val="00C03DAC"/>
    <w:rsid w:val="00C040F9"/>
    <w:rsid w:val="00C04C25"/>
    <w:rsid w:val="00C04C7E"/>
    <w:rsid w:val="00C0550E"/>
    <w:rsid w:val="00C05665"/>
    <w:rsid w:val="00C0585C"/>
    <w:rsid w:val="00C07709"/>
    <w:rsid w:val="00C07BED"/>
    <w:rsid w:val="00C10401"/>
    <w:rsid w:val="00C10900"/>
    <w:rsid w:val="00C10F48"/>
    <w:rsid w:val="00C11299"/>
    <w:rsid w:val="00C1200C"/>
    <w:rsid w:val="00C12159"/>
    <w:rsid w:val="00C121D1"/>
    <w:rsid w:val="00C12DA6"/>
    <w:rsid w:val="00C12FBE"/>
    <w:rsid w:val="00C1309E"/>
    <w:rsid w:val="00C1341E"/>
    <w:rsid w:val="00C1400E"/>
    <w:rsid w:val="00C1521D"/>
    <w:rsid w:val="00C15CE8"/>
    <w:rsid w:val="00C15DCA"/>
    <w:rsid w:val="00C20ABD"/>
    <w:rsid w:val="00C215AC"/>
    <w:rsid w:val="00C216E0"/>
    <w:rsid w:val="00C21D47"/>
    <w:rsid w:val="00C21E76"/>
    <w:rsid w:val="00C221DA"/>
    <w:rsid w:val="00C2221B"/>
    <w:rsid w:val="00C22FA4"/>
    <w:rsid w:val="00C23212"/>
    <w:rsid w:val="00C2439D"/>
    <w:rsid w:val="00C2455C"/>
    <w:rsid w:val="00C24662"/>
    <w:rsid w:val="00C25194"/>
    <w:rsid w:val="00C251A6"/>
    <w:rsid w:val="00C254D8"/>
    <w:rsid w:val="00C25B3B"/>
    <w:rsid w:val="00C2681D"/>
    <w:rsid w:val="00C2774A"/>
    <w:rsid w:val="00C27AF2"/>
    <w:rsid w:val="00C27B6E"/>
    <w:rsid w:val="00C3015A"/>
    <w:rsid w:val="00C311AF"/>
    <w:rsid w:val="00C32958"/>
    <w:rsid w:val="00C33465"/>
    <w:rsid w:val="00C340FC"/>
    <w:rsid w:val="00C34C0B"/>
    <w:rsid w:val="00C366F6"/>
    <w:rsid w:val="00C367D7"/>
    <w:rsid w:val="00C36F66"/>
    <w:rsid w:val="00C37BDF"/>
    <w:rsid w:val="00C37BE3"/>
    <w:rsid w:val="00C37E66"/>
    <w:rsid w:val="00C40081"/>
    <w:rsid w:val="00C403B2"/>
    <w:rsid w:val="00C40ABC"/>
    <w:rsid w:val="00C40E40"/>
    <w:rsid w:val="00C412BB"/>
    <w:rsid w:val="00C41F16"/>
    <w:rsid w:val="00C42292"/>
    <w:rsid w:val="00C42299"/>
    <w:rsid w:val="00C42345"/>
    <w:rsid w:val="00C43495"/>
    <w:rsid w:val="00C43518"/>
    <w:rsid w:val="00C43BFC"/>
    <w:rsid w:val="00C44F79"/>
    <w:rsid w:val="00C46021"/>
    <w:rsid w:val="00C466A5"/>
    <w:rsid w:val="00C467A6"/>
    <w:rsid w:val="00C46C03"/>
    <w:rsid w:val="00C47E3B"/>
    <w:rsid w:val="00C50224"/>
    <w:rsid w:val="00C51319"/>
    <w:rsid w:val="00C524AB"/>
    <w:rsid w:val="00C52583"/>
    <w:rsid w:val="00C52955"/>
    <w:rsid w:val="00C53232"/>
    <w:rsid w:val="00C53521"/>
    <w:rsid w:val="00C53B2D"/>
    <w:rsid w:val="00C54A54"/>
    <w:rsid w:val="00C54BB4"/>
    <w:rsid w:val="00C572CD"/>
    <w:rsid w:val="00C5787B"/>
    <w:rsid w:val="00C60191"/>
    <w:rsid w:val="00C605E8"/>
    <w:rsid w:val="00C637B4"/>
    <w:rsid w:val="00C64282"/>
    <w:rsid w:val="00C6564B"/>
    <w:rsid w:val="00C65A32"/>
    <w:rsid w:val="00C65EB6"/>
    <w:rsid w:val="00C71482"/>
    <w:rsid w:val="00C71CB9"/>
    <w:rsid w:val="00C72143"/>
    <w:rsid w:val="00C7252B"/>
    <w:rsid w:val="00C72731"/>
    <w:rsid w:val="00C72B5A"/>
    <w:rsid w:val="00C7371D"/>
    <w:rsid w:val="00C7414E"/>
    <w:rsid w:val="00C7472E"/>
    <w:rsid w:val="00C748F5"/>
    <w:rsid w:val="00C74A37"/>
    <w:rsid w:val="00C74A80"/>
    <w:rsid w:val="00C772CF"/>
    <w:rsid w:val="00C77961"/>
    <w:rsid w:val="00C803ED"/>
    <w:rsid w:val="00C80C47"/>
    <w:rsid w:val="00C81721"/>
    <w:rsid w:val="00C81D8E"/>
    <w:rsid w:val="00C8256E"/>
    <w:rsid w:val="00C82D2B"/>
    <w:rsid w:val="00C82FB2"/>
    <w:rsid w:val="00C83300"/>
    <w:rsid w:val="00C83866"/>
    <w:rsid w:val="00C84155"/>
    <w:rsid w:val="00C84841"/>
    <w:rsid w:val="00C8548A"/>
    <w:rsid w:val="00C8555B"/>
    <w:rsid w:val="00C86ABE"/>
    <w:rsid w:val="00C87346"/>
    <w:rsid w:val="00C900C1"/>
    <w:rsid w:val="00C90B9E"/>
    <w:rsid w:val="00C90E53"/>
    <w:rsid w:val="00C911CB"/>
    <w:rsid w:val="00C91731"/>
    <w:rsid w:val="00C9291B"/>
    <w:rsid w:val="00C93934"/>
    <w:rsid w:val="00C939EC"/>
    <w:rsid w:val="00C93CB0"/>
    <w:rsid w:val="00C94735"/>
    <w:rsid w:val="00C95D1C"/>
    <w:rsid w:val="00C963D5"/>
    <w:rsid w:val="00C96C36"/>
    <w:rsid w:val="00C96E23"/>
    <w:rsid w:val="00CA0241"/>
    <w:rsid w:val="00CA0F3F"/>
    <w:rsid w:val="00CA177D"/>
    <w:rsid w:val="00CA17B2"/>
    <w:rsid w:val="00CA2219"/>
    <w:rsid w:val="00CA2410"/>
    <w:rsid w:val="00CA2C28"/>
    <w:rsid w:val="00CA2FE5"/>
    <w:rsid w:val="00CA343A"/>
    <w:rsid w:val="00CA3A1C"/>
    <w:rsid w:val="00CA400A"/>
    <w:rsid w:val="00CA4ADD"/>
    <w:rsid w:val="00CA505A"/>
    <w:rsid w:val="00CA63D5"/>
    <w:rsid w:val="00CA77BD"/>
    <w:rsid w:val="00CB021B"/>
    <w:rsid w:val="00CB0C8B"/>
    <w:rsid w:val="00CB1538"/>
    <w:rsid w:val="00CB1630"/>
    <w:rsid w:val="00CB210D"/>
    <w:rsid w:val="00CB2242"/>
    <w:rsid w:val="00CB255D"/>
    <w:rsid w:val="00CB2D7A"/>
    <w:rsid w:val="00CB3A11"/>
    <w:rsid w:val="00CB3B89"/>
    <w:rsid w:val="00CB442B"/>
    <w:rsid w:val="00CB51AF"/>
    <w:rsid w:val="00CB589A"/>
    <w:rsid w:val="00CB5F71"/>
    <w:rsid w:val="00CC0514"/>
    <w:rsid w:val="00CC0738"/>
    <w:rsid w:val="00CC1308"/>
    <w:rsid w:val="00CC139F"/>
    <w:rsid w:val="00CC2229"/>
    <w:rsid w:val="00CC24A6"/>
    <w:rsid w:val="00CC2523"/>
    <w:rsid w:val="00CC3AEA"/>
    <w:rsid w:val="00CC3D42"/>
    <w:rsid w:val="00CC4571"/>
    <w:rsid w:val="00CC4904"/>
    <w:rsid w:val="00CC5423"/>
    <w:rsid w:val="00CC69F2"/>
    <w:rsid w:val="00CC6C87"/>
    <w:rsid w:val="00CC723C"/>
    <w:rsid w:val="00CD0008"/>
    <w:rsid w:val="00CD1580"/>
    <w:rsid w:val="00CD17A8"/>
    <w:rsid w:val="00CD2D6B"/>
    <w:rsid w:val="00CD2E54"/>
    <w:rsid w:val="00CD4987"/>
    <w:rsid w:val="00CD4C44"/>
    <w:rsid w:val="00CD4F93"/>
    <w:rsid w:val="00CD53F4"/>
    <w:rsid w:val="00CD5746"/>
    <w:rsid w:val="00CD5B4A"/>
    <w:rsid w:val="00CD5B54"/>
    <w:rsid w:val="00CD5B61"/>
    <w:rsid w:val="00CD6609"/>
    <w:rsid w:val="00CD66B5"/>
    <w:rsid w:val="00CD6706"/>
    <w:rsid w:val="00CD6B73"/>
    <w:rsid w:val="00CD7EBC"/>
    <w:rsid w:val="00CE01BE"/>
    <w:rsid w:val="00CE06D7"/>
    <w:rsid w:val="00CE0AEB"/>
    <w:rsid w:val="00CE0C41"/>
    <w:rsid w:val="00CE1134"/>
    <w:rsid w:val="00CE1F66"/>
    <w:rsid w:val="00CE2680"/>
    <w:rsid w:val="00CE37B2"/>
    <w:rsid w:val="00CE3AE3"/>
    <w:rsid w:val="00CE40D2"/>
    <w:rsid w:val="00CE4937"/>
    <w:rsid w:val="00CE4A8F"/>
    <w:rsid w:val="00CE52A5"/>
    <w:rsid w:val="00CE54A6"/>
    <w:rsid w:val="00CE6B74"/>
    <w:rsid w:val="00CE7448"/>
    <w:rsid w:val="00CF002C"/>
    <w:rsid w:val="00CF0B4F"/>
    <w:rsid w:val="00CF0F0F"/>
    <w:rsid w:val="00CF1DDD"/>
    <w:rsid w:val="00CF1FDE"/>
    <w:rsid w:val="00CF44FC"/>
    <w:rsid w:val="00CF4ACB"/>
    <w:rsid w:val="00CF5106"/>
    <w:rsid w:val="00CF59CD"/>
    <w:rsid w:val="00CF7021"/>
    <w:rsid w:val="00CF7896"/>
    <w:rsid w:val="00CF7A53"/>
    <w:rsid w:val="00CF7DA6"/>
    <w:rsid w:val="00D00219"/>
    <w:rsid w:val="00D00E00"/>
    <w:rsid w:val="00D00F43"/>
    <w:rsid w:val="00D01614"/>
    <w:rsid w:val="00D01D08"/>
    <w:rsid w:val="00D0209F"/>
    <w:rsid w:val="00D024FE"/>
    <w:rsid w:val="00D0278E"/>
    <w:rsid w:val="00D03A02"/>
    <w:rsid w:val="00D03C37"/>
    <w:rsid w:val="00D04010"/>
    <w:rsid w:val="00D0455B"/>
    <w:rsid w:val="00D0487E"/>
    <w:rsid w:val="00D05438"/>
    <w:rsid w:val="00D05642"/>
    <w:rsid w:val="00D05D43"/>
    <w:rsid w:val="00D06032"/>
    <w:rsid w:val="00D065D5"/>
    <w:rsid w:val="00D0680C"/>
    <w:rsid w:val="00D06A9F"/>
    <w:rsid w:val="00D06AFB"/>
    <w:rsid w:val="00D07B6F"/>
    <w:rsid w:val="00D107A2"/>
    <w:rsid w:val="00D13299"/>
    <w:rsid w:val="00D13679"/>
    <w:rsid w:val="00D139DE"/>
    <w:rsid w:val="00D14F61"/>
    <w:rsid w:val="00D150E7"/>
    <w:rsid w:val="00D1619E"/>
    <w:rsid w:val="00D1713B"/>
    <w:rsid w:val="00D17146"/>
    <w:rsid w:val="00D177E5"/>
    <w:rsid w:val="00D17CEE"/>
    <w:rsid w:val="00D2057F"/>
    <w:rsid w:val="00D21659"/>
    <w:rsid w:val="00D21745"/>
    <w:rsid w:val="00D2236F"/>
    <w:rsid w:val="00D225EE"/>
    <w:rsid w:val="00D2294A"/>
    <w:rsid w:val="00D234DD"/>
    <w:rsid w:val="00D2351B"/>
    <w:rsid w:val="00D23A3F"/>
    <w:rsid w:val="00D23B5F"/>
    <w:rsid w:val="00D23FE0"/>
    <w:rsid w:val="00D23FEB"/>
    <w:rsid w:val="00D24D89"/>
    <w:rsid w:val="00D2516B"/>
    <w:rsid w:val="00D25651"/>
    <w:rsid w:val="00D26B72"/>
    <w:rsid w:val="00D26C60"/>
    <w:rsid w:val="00D272E8"/>
    <w:rsid w:val="00D27D84"/>
    <w:rsid w:val="00D3015B"/>
    <w:rsid w:val="00D30404"/>
    <w:rsid w:val="00D30C93"/>
    <w:rsid w:val="00D30E99"/>
    <w:rsid w:val="00D3192E"/>
    <w:rsid w:val="00D32632"/>
    <w:rsid w:val="00D32D4D"/>
    <w:rsid w:val="00D33606"/>
    <w:rsid w:val="00D33858"/>
    <w:rsid w:val="00D34A93"/>
    <w:rsid w:val="00D34BF2"/>
    <w:rsid w:val="00D353C8"/>
    <w:rsid w:val="00D35614"/>
    <w:rsid w:val="00D3624C"/>
    <w:rsid w:val="00D37A9F"/>
    <w:rsid w:val="00D37C6B"/>
    <w:rsid w:val="00D40BAB"/>
    <w:rsid w:val="00D40EF3"/>
    <w:rsid w:val="00D40F70"/>
    <w:rsid w:val="00D411B5"/>
    <w:rsid w:val="00D4288F"/>
    <w:rsid w:val="00D431BA"/>
    <w:rsid w:val="00D434DD"/>
    <w:rsid w:val="00D43620"/>
    <w:rsid w:val="00D44CA9"/>
    <w:rsid w:val="00D45E6C"/>
    <w:rsid w:val="00D462FE"/>
    <w:rsid w:val="00D50D43"/>
    <w:rsid w:val="00D50DC0"/>
    <w:rsid w:val="00D510CB"/>
    <w:rsid w:val="00D513C0"/>
    <w:rsid w:val="00D5144F"/>
    <w:rsid w:val="00D539C3"/>
    <w:rsid w:val="00D54163"/>
    <w:rsid w:val="00D56892"/>
    <w:rsid w:val="00D60288"/>
    <w:rsid w:val="00D61C94"/>
    <w:rsid w:val="00D62188"/>
    <w:rsid w:val="00D622AA"/>
    <w:rsid w:val="00D625D3"/>
    <w:rsid w:val="00D62666"/>
    <w:rsid w:val="00D6317C"/>
    <w:rsid w:val="00D63CEF"/>
    <w:rsid w:val="00D648F9"/>
    <w:rsid w:val="00D64EC9"/>
    <w:rsid w:val="00D65F34"/>
    <w:rsid w:val="00D66DA2"/>
    <w:rsid w:val="00D66EFF"/>
    <w:rsid w:val="00D67888"/>
    <w:rsid w:val="00D67CE2"/>
    <w:rsid w:val="00D67EF2"/>
    <w:rsid w:val="00D7042E"/>
    <w:rsid w:val="00D70E31"/>
    <w:rsid w:val="00D71358"/>
    <w:rsid w:val="00D7144E"/>
    <w:rsid w:val="00D7191C"/>
    <w:rsid w:val="00D719BF"/>
    <w:rsid w:val="00D71D1C"/>
    <w:rsid w:val="00D71E71"/>
    <w:rsid w:val="00D728EA"/>
    <w:rsid w:val="00D72FAC"/>
    <w:rsid w:val="00D7405B"/>
    <w:rsid w:val="00D74FFA"/>
    <w:rsid w:val="00D7518A"/>
    <w:rsid w:val="00D75F57"/>
    <w:rsid w:val="00D76969"/>
    <w:rsid w:val="00D76B9B"/>
    <w:rsid w:val="00D77F46"/>
    <w:rsid w:val="00D808BD"/>
    <w:rsid w:val="00D8130E"/>
    <w:rsid w:val="00D81ADD"/>
    <w:rsid w:val="00D81CC1"/>
    <w:rsid w:val="00D81DD3"/>
    <w:rsid w:val="00D81FC5"/>
    <w:rsid w:val="00D82CF8"/>
    <w:rsid w:val="00D8342A"/>
    <w:rsid w:val="00D859E5"/>
    <w:rsid w:val="00D860DA"/>
    <w:rsid w:val="00D86130"/>
    <w:rsid w:val="00D87CF3"/>
    <w:rsid w:val="00D903BC"/>
    <w:rsid w:val="00D905F6"/>
    <w:rsid w:val="00D907BA"/>
    <w:rsid w:val="00D9098B"/>
    <w:rsid w:val="00D90BBE"/>
    <w:rsid w:val="00D929C4"/>
    <w:rsid w:val="00D941AB"/>
    <w:rsid w:val="00D94C8C"/>
    <w:rsid w:val="00D96CCE"/>
    <w:rsid w:val="00D97D5A"/>
    <w:rsid w:val="00DA0336"/>
    <w:rsid w:val="00DA0365"/>
    <w:rsid w:val="00DA0E01"/>
    <w:rsid w:val="00DA1875"/>
    <w:rsid w:val="00DA1D6E"/>
    <w:rsid w:val="00DA2C65"/>
    <w:rsid w:val="00DA2EDD"/>
    <w:rsid w:val="00DA3C1C"/>
    <w:rsid w:val="00DA4529"/>
    <w:rsid w:val="00DA4784"/>
    <w:rsid w:val="00DA4C4D"/>
    <w:rsid w:val="00DA52A7"/>
    <w:rsid w:val="00DA5314"/>
    <w:rsid w:val="00DA5939"/>
    <w:rsid w:val="00DA60C6"/>
    <w:rsid w:val="00DA741C"/>
    <w:rsid w:val="00DA7780"/>
    <w:rsid w:val="00DB005A"/>
    <w:rsid w:val="00DB0127"/>
    <w:rsid w:val="00DB0130"/>
    <w:rsid w:val="00DB035F"/>
    <w:rsid w:val="00DB09D3"/>
    <w:rsid w:val="00DB1601"/>
    <w:rsid w:val="00DB18E6"/>
    <w:rsid w:val="00DB18F5"/>
    <w:rsid w:val="00DB260C"/>
    <w:rsid w:val="00DB2FF4"/>
    <w:rsid w:val="00DB300F"/>
    <w:rsid w:val="00DB4C6D"/>
    <w:rsid w:val="00DB54E8"/>
    <w:rsid w:val="00DB55A4"/>
    <w:rsid w:val="00DB5DE8"/>
    <w:rsid w:val="00DB645A"/>
    <w:rsid w:val="00DB67B3"/>
    <w:rsid w:val="00DB6AC8"/>
    <w:rsid w:val="00DB6BD4"/>
    <w:rsid w:val="00DC0088"/>
    <w:rsid w:val="00DC0701"/>
    <w:rsid w:val="00DC0743"/>
    <w:rsid w:val="00DC248C"/>
    <w:rsid w:val="00DC263B"/>
    <w:rsid w:val="00DC35E4"/>
    <w:rsid w:val="00DC3B02"/>
    <w:rsid w:val="00DC425A"/>
    <w:rsid w:val="00DC4D47"/>
    <w:rsid w:val="00DC516F"/>
    <w:rsid w:val="00DC7485"/>
    <w:rsid w:val="00DC7C4A"/>
    <w:rsid w:val="00DD0612"/>
    <w:rsid w:val="00DD1032"/>
    <w:rsid w:val="00DD2297"/>
    <w:rsid w:val="00DD2313"/>
    <w:rsid w:val="00DD2866"/>
    <w:rsid w:val="00DD2B8A"/>
    <w:rsid w:val="00DD2FC9"/>
    <w:rsid w:val="00DD3152"/>
    <w:rsid w:val="00DD38BC"/>
    <w:rsid w:val="00DD413E"/>
    <w:rsid w:val="00DD4185"/>
    <w:rsid w:val="00DD553A"/>
    <w:rsid w:val="00DD56AA"/>
    <w:rsid w:val="00DD5E50"/>
    <w:rsid w:val="00DD5FFA"/>
    <w:rsid w:val="00DD60EB"/>
    <w:rsid w:val="00DD6165"/>
    <w:rsid w:val="00DD6D87"/>
    <w:rsid w:val="00DD7442"/>
    <w:rsid w:val="00DD7759"/>
    <w:rsid w:val="00DD787C"/>
    <w:rsid w:val="00DE027C"/>
    <w:rsid w:val="00DE1921"/>
    <w:rsid w:val="00DE1986"/>
    <w:rsid w:val="00DE2D94"/>
    <w:rsid w:val="00DE3D89"/>
    <w:rsid w:val="00DE4483"/>
    <w:rsid w:val="00DE5F5E"/>
    <w:rsid w:val="00DE6B4D"/>
    <w:rsid w:val="00DE6E7B"/>
    <w:rsid w:val="00DE746B"/>
    <w:rsid w:val="00DE7552"/>
    <w:rsid w:val="00DE7A45"/>
    <w:rsid w:val="00DF0230"/>
    <w:rsid w:val="00DF0AF3"/>
    <w:rsid w:val="00DF1272"/>
    <w:rsid w:val="00DF247C"/>
    <w:rsid w:val="00DF2FEE"/>
    <w:rsid w:val="00DF3012"/>
    <w:rsid w:val="00DF5207"/>
    <w:rsid w:val="00DF53D9"/>
    <w:rsid w:val="00DF5862"/>
    <w:rsid w:val="00DF61EF"/>
    <w:rsid w:val="00DF6519"/>
    <w:rsid w:val="00DF690D"/>
    <w:rsid w:val="00DF73C9"/>
    <w:rsid w:val="00DF73E5"/>
    <w:rsid w:val="00DF753A"/>
    <w:rsid w:val="00DF7738"/>
    <w:rsid w:val="00E007C7"/>
    <w:rsid w:val="00E00C60"/>
    <w:rsid w:val="00E014DD"/>
    <w:rsid w:val="00E018C7"/>
    <w:rsid w:val="00E02B9E"/>
    <w:rsid w:val="00E02CA2"/>
    <w:rsid w:val="00E03339"/>
    <w:rsid w:val="00E03688"/>
    <w:rsid w:val="00E04CEA"/>
    <w:rsid w:val="00E05D09"/>
    <w:rsid w:val="00E065F5"/>
    <w:rsid w:val="00E06A04"/>
    <w:rsid w:val="00E07417"/>
    <w:rsid w:val="00E07424"/>
    <w:rsid w:val="00E0795F"/>
    <w:rsid w:val="00E10376"/>
    <w:rsid w:val="00E10D19"/>
    <w:rsid w:val="00E11268"/>
    <w:rsid w:val="00E11C9C"/>
    <w:rsid w:val="00E11EFF"/>
    <w:rsid w:val="00E1285A"/>
    <w:rsid w:val="00E12AF8"/>
    <w:rsid w:val="00E133DF"/>
    <w:rsid w:val="00E139E3"/>
    <w:rsid w:val="00E13E21"/>
    <w:rsid w:val="00E1417C"/>
    <w:rsid w:val="00E15A84"/>
    <w:rsid w:val="00E16AEA"/>
    <w:rsid w:val="00E176D1"/>
    <w:rsid w:val="00E20BF1"/>
    <w:rsid w:val="00E2226C"/>
    <w:rsid w:val="00E22459"/>
    <w:rsid w:val="00E2282C"/>
    <w:rsid w:val="00E2299E"/>
    <w:rsid w:val="00E23EC0"/>
    <w:rsid w:val="00E23FF4"/>
    <w:rsid w:val="00E24DF4"/>
    <w:rsid w:val="00E2502C"/>
    <w:rsid w:val="00E25C37"/>
    <w:rsid w:val="00E25FFA"/>
    <w:rsid w:val="00E26818"/>
    <w:rsid w:val="00E26E7E"/>
    <w:rsid w:val="00E27365"/>
    <w:rsid w:val="00E3025C"/>
    <w:rsid w:val="00E30598"/>
    <w:rsid w:val="00E30BD7"/>
    <w:rsid w:val="00E315BA"/>
    <w:rsid w:val="00E31768"/>
    <w:rsid w:val="00E3250A"/>
    <w:rsid w:val="00E32900"/>
    <w:rsid w:val="00E32DF5"/>
    <w:rsid w:val="00E3498E"/>
    <w:rsid w:val="00E35569"/>
    <w:rsid w:val="00E35841"/>
    <w:rsid w:val="00E3734B"/>
    <w:rsid w:val="00E40663"/>
    <w:rsid w:val="00E40BA8"/>
    <w:rsid w:val="00E40CE2"/>
    <w:rsid w:val="00E41B73"/>
    <w:rsid w:val="00E42D87"/>
    <w:rsid w:val="00E44A58"/>
    <w:rsid w:val="00E44E0D"/>
    <w:rsid w:val="00E45183"/>
    <w:rsid w:val="00E4572F"/>
    <w:rsid w:val="00E45A34"/>
    <w:rsid w:val="00E45BBC"/>
    <w:rsid w:val="00E476F0"/>
    <w:rsid w:val="00E479D5"/>
    <w:rsid w:val="00E509A8"/>
    <w:rsid w:val="00E509C8"/>
    <w:rsid w:val="00E51C3B"/>
    <w:rsid w:val="00E51CFA"/>
    <w:rsid w:val="00E5228E"/>
    <w:rsid w:val="00E52843"/>
    <w:rsid w:val="00E539B8"/>
    <w:rsid w:val="00E54BD3"/>
    <w:rsid w:val="00E54CAF"/>
    <w:rsid w:val="00E55152"/>
    <w:rsid w:val="00E55155"/>
    <w:rsid w:val="00E553C9"/>
    <w:rsid w:val="00E55DCC"/>
    <w:rsid w:val="00E56A89"/>
    <w:rsid w:val="00E579A7"/>
    <w:rsid w:val="00E57AD0"/>
    <w:rsid w:val="00E57C23"/>
    <w:rsid w:val="00E60814"/>
    <w:rsid w:val="00E61E49"/>
    <w:rsid w:val="00E62388"/>
    <w:rsid w:val="00E6257B"/>
    <w:rsid w:val="00E644EF"/>
    <w:rsid w:val="00E64805"/>
    <w:rsid w:val="00E64CF3"/>
    <w:rsid w:val="00E65A7C"/>
    <w:rsid w:val="00E65DDA"/>
    <w:rsid w:val="00E6615E"/>
    <w:rsid w:val="00E66E9B"/>
    <w:rsid w:val="00E670EC"/>
    <w:rsid w:val="00E672C9"/>
    <w:rsid w:val="00E70254"/>
    <w:rsid w:val="00E70DC8"/>
    <w:rsid w:val="00E70FD1"/>
    <w:rsid w:val="00E728C9"/>
    <w:rsid w:val="00E72DBE"/>
    <w:rsid w:val="00E73117"/>
    <w:rsid w:val="00E7413A"/>
    <w:rsid w:val="00E7422C"/>
    <w:rsid w:val="00E747D6"/>
    <w:rsid w:val="00E74C32"/>
    <w:rsid w:val="00E74C4A"/>
    <w:rsid w:val="00E75E6F"/>
    <w:rsid w:val="00E767A4"/>
    <w:rsid w:val="00E76B33"/>
    <w:rsid w:val="00E8151D"/>
    <w:rsid w:val="00E8206B"/>
    <w:rsid w:val="00E828E9"/>
    <w:rsid w:val="00E849D0"/>
    <w:rsid w:val="00E84E77"/>
    <w:rsid w:val="00E85108"/>
    <w:rsid w:val="00E86019"/>
    <w:rsid w:val="00E86BAE"/>
    <w:rsid w:val="00E86BAF"/>
    <w:rsid w:val="00E87499"/>
    <w:rsid w:val="00E9016B"/>
    <w:rsid w:val="00E91DB2"/>
    <w:rsid w:val="00E92FED"/>
    <w:rsid w:val="00E932A8"/>
    <w:rsid w:val="00E932A9"/>
    <w:rsid w:val="00E94902"/>
    <w:rsid w:val="00E94AAE"/>
    <w:rsid w:val="00E94BC5"/>
    <w:rsid w:val="00E94F5D"/>
    <w:rsid w:val="00E95466"/>
    <w:rsid w:val="00E95B10"/>
    <w:rsid w:val="00E95C37"/>
    <w:rsid w:val="00E961BF"/>
    <w:rsid w:val="00E96651"/>
    <w:rsid w:val="00E97E54"/>
    <w:rsid w:val="00EA014E"/>
    <w:rsid w:val="00EA04D8"/>
    <w:rsid w:val="00EA0C3C"/>
    <w:rsid w:val="00EA14D9"/>
    <w:rsid w:val="00EA219E"/>
    <w:rsid w:val="00EA2B80"/>
    <w:rsid w:val="00EA2EDD"/>
    <w:rsid w:val="00EA3F1C"/>
    <w:rsid w:val="00EA4C45"/>
    <w:rsid w:val="00EA4C94"/>
    <w:rsid w:val="00EA4FF7"/>
    <w:rsid w:val="00EA638B"/>
    <w:rsid w:val="00EA63B3"/>
    <w:rsid w:val="00EA7352"/>
    <w:rsid w:val="00EB0CF3"/>
    <w:rsid w:val="00EB0E1E"/>
    <w:rsid w:val="00EB1061"/>
    <w:rsid w:val="00EB33E3"/>
    <w:rsid w:val="00EB33F0"/>
    <w:rsid w:val="00EB56F0"/>
    <w:rsid w:val="00EB5AF5"/>
    <w:rsid w:val="00EB5B1D"/>
    <w:rsid w:val="00EB5D8E"/>
    <w:rsid w:val="00EB62E3"/>
    <w:rsid w:val="00EB7462"/>
    <w:rsid w:val="00EB778C"/>
    <w:rsid w:val="00EB7836"/>
    <w:rsid w:val="00EB7DFD"/>
    <w:rsid w:val="00EC0BF0"/>
    <w:rsid w:val="00EC274E"/>
    <w:rsid w:val="00EC27CE"/>
    <w:rsid w:val="00EC2F24"/>
    <w:rsid w:val="00EC5447"/>
    <w:rsid w:val="00EC57F1"/>
    <w:rsid w:val="00EC5BF2"/>
    <w:rsid w:val="00EC79EC"/>
    <w:rsid w:val="00EC7C7E"/>
    <w:rsid w:val="00ED042E"/>
    <w:rsid w:val="00ED0E3B"/>
    <w:rsid w:val="00ED2919"/>
    <w:rsid w:val="00ED2DC9"/>
    <w:rsid w:val="00ED3281"/>
    <w:rsid w:val="00ED3BE7"/>
    <w:rsid w:val="00ED4F9C"/>
    <w:rsid w:val="00ED5A5A"/>
    <w:rsid w:val="00ED68A3"/>
    <w:rsid w:val="00ED6EB7"/>
    <w:rsid w:val="00ED7D4D"/>
    <w:rsid w:val="00EE2F33"/>
    <w:rsid w:val="00EE34EE"/>
    <w:rsid w:val="00EE41A3"/>
    <w:rsid w:val="00EE4C10"/>
    <w:rsid w:val="00EF0059"/>
    <w:rsid w:val="00EF100D"/>
    <w:rsid w:val="00EF1391"/>
    <w:rsid w:val="00EF13D8"/>
    <w:rsid w:val="00EF1F8C"/>
    <w:rsid w:val="00EF2251"/>
    <w:rsid w:val="00EF3089"/>
    <w:rsid w:val="00EF47DA"/>
    <w:rsid w:val="00EF6120"/>
    <w:rsid w:val="00EF651C"/>
    <w:rsid w:val="00EF734E"/>
    <w:rsid w:val="00F00677"/>
    <w:rsid w:val="00F0089C"/>
    <w:rsid w:val="00F00FA6"/>
    <w:rsid w:val="00F01DA6"/>
    <w:rsid w:val="00F050F9"/>
    <w:rsid w:val="00F0702B"/>
    <w:rsid w:val="00F1083D"/>
    <w:rsid w:val="00F1207A"/>
    <w:rsid w:val="00F13C88"/>
    <w:rsid w:val="00F1437D"/>
    <w:rsid w:val="00F15916"/>
    <w:rsid w:val="00F159A2"/>
    <w:rsid w:val="00F16364"/>
    <w:rsid w:val="00F17399"/>
    <w:rsid w:val="00F179F2"/>
    <w:rsid w:val="00F20449"/>
    <w:rsid w:val="00F20D6B"/>
    <w:rsid w:val="00F21FFC"/>
    <w:rsid w:val="00F2236F"/>
    <w:rsid w:val="00F22C5A"/>
    <w:rsid w:val="00F233F1"/>
    <w:rsid w:val="00F23BCB"/>
    <w:rsid w:val="00F24928"/>
    <w:rsid w:val="00F24F0E"/>
    <w:rsid w:val="00F26651"/>
    <w:rsid w:val="00F27AC5"/>
    <w:rsid w:val="00F27BC4"/>
    <w:rsid w:val="00F27D3B"/>
    <w:rsid w:val="00F30242"/>
    <w:rsid w:val="00F30272"/>
    <w:rsid w:val="00F3141F"/>
    <w:rsid w:val="00F32377"/>
    <w:rsid w:val="00F329E7"/>
    <w:rsid w:val="00F33990"/>
    <w:rsid w:val="00F36CC6"/>
    <w:rsid w:val="00F4083F"/>
    <w:rsid w:val="00F40C9D"/>
    <w:rsid w:val="00F40FAF"/>
    <w:rsid w:val="00F412FF"/>
    <w:rsid w:val="00F414CD"/>
    <w:rsid w:val="00F42A76"/>
    <w:rsid w:val="00F43173"/>
    <w:rsid w:val="00F43873"/>
    <w:rsid w:val="00F4513E"/>
    <w:rsid w:val="00F45539"/>
    <w:rsid w:val="00F456B7"/>
    <w:rsid w:val="00F45C88"/>
    <w:rsid w:val="00F46788"/>
    <w:rsid w:val="00F47B63"/>
    <w:rsid w:val="00F47C5F"/>
    <w:rsid w:val="00F503D0"/>
    <w:rsid w:val="00F53171"/>
    <w:rsid w:val="00F53905"/>
    <w:rsid w:val="00F54C88"/>
    <w:rsid w:val="00F56065"/>
    <w:rsid w:val="00F56726"/>
    <w:rsid w:val="00F56CC6"/>
    <w:rsid w:val="00F56EE9"/>
    <w:rsid w:val="00F57423"/>
    <w:rsid w:val="00F57C85"/>
    <w:rsid w:val="00F603B1"/>
    <w:rsid w:val="00F606EF"/>
    <w:rsid w:val="00F60711"/>
    <w:rsid w:val="00F61F0A"/>
    <w:rsid w:val="00F62A6B"/>
    <w:rsid w:val="00F62D2E"/>
    <w:rsid w:val="00F63751"/>
    <w:rsid w:val="00F647FD"/>
    <w:rsid w:val="00F64807"/>
    <w:rsid w:val="00F6483C"/>
    <w:rsid w:val="00F649EB"/>
    <w:rsid w:val="00F64C81"/>
    <w:rsid w:val="00F64DEE"/>
    <w:rsid w:val="00F64E43"/>
    <w:rsid w:val="00F65428"/>
    <w:rsid w:val="00F65455"/>
    <w:rsid w:val="00F65F86"/>
    <w:rsid w:val="00F65FF2"/>
    <w:rsid w:val="00F670DA"/>
    <w:rsid w:val="00F71686"/>
    <w:rsid w:val="00F71CE0"/>
    <w:rsid w:val="00F72D7A"/>
    <w:rsid w:val="00F731A6"/>
    <w:rsid w:val="00F733F6"/>
    <w:rsid w:val="00F7404C"/>
    <w:rsid w:val="00F741F7"/>
    <w:rsid w:val="00F7438F"/>
    <w:rsid w:val="00F74599"/>
    <w:rsid w:val="00F747F1"/>
    <w:rsid w:val="00F74F94"/>
    <w:rsid w:val="00F757BE"/>
    <w:rsid w:val="00F7589B"/>
    <w:rsid w:val="00F75D28"/>
    <w:rsid w:val="00F7617F"/>
    <w:rsid w:val="00F76844"/>
    <w:rsid w:val="00F76D59"/>
    <w:rsid w:val="00F77A08"/>
    <w:rsid w:val="00F77EFA"/>
    <w:rsid w:val="00F816D8"/>
    <w:rsid w:val="00F821A7"/>
    <w:rsid w:val="00F821FB"/>
    <w:rsid w:val="00F828D1"/>
    <w:rsid w:val="00F82BD6"/>
    <w:rsid w:val="00F82EC5"/>
    <w:rsid w:val="00F846F4"/>
    <w:rsid w:val="00F84CBB"/>
    <w:rsid w:val="00F84FA7"/>
    <w:rsid w:val="00F86F30"/>
    <w:rsid w:val="00F87E4C"/>
    <w:rsid w:val="00F9008E"/>
    <w:rsid w:val="00F9059D"/>
    <w:rsid w:val="00F90630"/>
    <w:rsid w:val="00F919AF"/>
    <w:rsid w:val="00F93FB1"/>
    <w:rsid w:val="00F948BF"/>
    <w:rsid w:val="00F94BC3"/>
    <w:rsid w:val="00F9548F"/>
    <w:rsid w:val="00F95777"/>
    <w:rsid w:val="00F95BC6"/>
    <w:rsid w:val="00F95C61"/>
    <w:rsid w:val="00F966E6"/>
    <w:rsid w:val="00F970E7"/>
    <w:rsid w:val="00F974AF"/>
    <w:rsid w:val="00F97CA2"/>
    <w:rsid w:val="00F97DBA"/>
    <w:rsid w:val="00FA429C"/>
    <w:rsid w:val="00FA4725"/>
    <w:rsid w:val="00FA475F"/>
    <w:rsid w:val="00FA4F01"/>
    <w:rsid w:val="00FA514E"/>
    <w:rsid w:val="00FA516D"/>
    <w:rsid w:val="00FA650A"/>
    <w:rsid w:val="00FA729F"/>
    <w:rsid w:val="00FA7331"/>
    <w:rsid w:val="00FB04AA"/>
    <w:rsid w:val="00FB08DD"/>
    <w:rsid w:val="00FB26D8"/>
    <w:rsid w:val="00FB420E"/>
    <w:rsid w:val="00FB4781"/>
    <w:rsid w:val="00FB6382"/>
    <w:rsid w:val="00FB6C0D"/>
    <w:rsid w:val="00FB6CD7"/>
    <w:rsid w:val="00FB740D"/>
    <w:rsid w:val="00FB7A14"/>
    <w:rsid w:val="00FC0FC7"/>
    <w:rsid w:val="00FC1130"/>
    <w:rsid w:val="00FC1456"/>
    <w:rsid w:val="00FC19EA"/>
    <w:rsid w:val="00FC28E9"/>
    <w:rsid w:val="00FC29FF"/>
    <w:rsid w:val="00FC3BC9"/>
    <w:rsid w:val="00FC5215"/>
    <w:rsid w:val="00FC7E96"/>
    <w:rsid w:val="00FD0236"/>
    <w:rsid w:val="00FD0603"/>
    <w:rsid w:val="00FD0FAE"/>
    <w:rsid w:val="00FD1100"/>
    <w:rsid w:val="00FD1B6C"/>
    <w:rsid w:val="00FD1E4D"/>
    <w:rsid w:val="00FD2E4F"/>
    <w:rsid w:val="00FD2F2A"/>
    <w:rsid w:val="00FD3726"/>
    <w:rsid w:val="00FD4424"/>
    <w:rsid w:val="00FD4C06"/>
    <w:rsid w:val="00FD5AB9"/>
    <w:rsid w:val="00FD6494"/>
    <w:rsid w:val="00FD66B5"/>
    <w:rsid w:val="00FD6712"/>
    <w:rsid w:val="00FD70FA"/>
    <w:rsid w:val="00FE0AA2"/>
    <w:rsid w:val="00FE143C"/>
    <w:rsid w:val="00FE158F"/>
    <w:rsid w:val="00FE1A98"/>
    <w:rsid w:val="00FE24E1"/>
    <w:rsid w:val="00FE283A"/>
    <w:rsid w:val="00FE2CFB"/>
    <w:rsid w:val="00FE338A"/>
    <w:rsid w:val="00FE3773"/>
    <w:rsid w:val="00FE3C8F"/>
    <w:rsid w:val="00FE4E94"/>
    <w:rsid w:val="00FE57BF"/>
    <w:rsid w:val="00FE5956"/>
    <w:rsid w:val="00FE629E"/>
    <w:rsid w:val="00FE6703"/>
    <w:rsid w:val="00FE7FBA"/>
    <w:rsid w:val="00FF107E"/>
    <w:rsid w:val="00FF1DFB"/>
    <w:rsid w:val="00FF32FB"/>
    <w:rsid w:val="00FF35CB"/>
    <w:rsid w:val="00FF35EC"/>
    <w:rsid w:val="00FF3751"/>
    <w:rsid w:val="00FF4725"/>
    <w:rsid w:val="00FF4947"/>
    <w:rsid w:val="00FF4D11"/>
    <w:rsid w:val="00FF50A6"/>
    <w:rsid w:val="00FF52A4"/>
    <w:rsid w:val="00FF544C"/>
    <w:rsid w:val="00FF5B13"/>
    <w:rsid w:val="00FF5E2B"/>
    <w:rsid w:val="00FF5F2B"/>
    <w:rsid w:val="00FF5F65"/>
    <w:rsid w:val="00FF699C"/>
    <w:rsid w:val="00FF6CDC"/>
    <w:rsid w:val="00FF6F52"/>
    <w:rsid w:val="00FF762B"/>
    <w:rsid w:val="00FF77D9"/>
    <w:rsid w:val="00FF7888"/>
    <w:rsid w:val="013553C5"/>
    <w:rsid w:val="016D24A2"/>
    <w:rsid w:val="017534DD"/>
    <w:rsid w:val="0386CFFB"/>
    <w:rsid w:val="04BCE15A"/>
    <w:rsid w:val="05CFA21B"/>
    <w:rsid w:val="0D3079FF"/>
    <w:rsid w:val="0EE7A864"/>
    <w:rsid w:val="154C6CAC"/>
    <w:rsid w:val="1557510E"/>
    <w:rsid w:val="15DBAF9A"/>
    <w:rsid w:val="15DD4C05"/>
    <w:rsid w:val="1727A456"/>
    <w:rsid w:val="172A4B75"/>
    <w:rsid w:val="19DD11EF"/>
    <w:rsid w:val="1AE17189"/>
    <w:rsid w:val="1B2FED83"/>
    <w:rsid w:val="1CF29712"/>
    <w:rsid w:val="1EF47063"/>
    <w:rsid w:val="2034293F"/>
    <w:rsid w:val="207F8BC8"/>
    <w:rsid w:val="232E17F8"/>
    <w:rsid w:val="2344F193"/>
    <w:rsid w:val="24828A1F"/>
    <w:rsid w:val="25A71795"/>
    <w:rsid w:val="26867819"/>
    <w:rsid w:val="2999BFE0"/>
    <w:rsid w:val="2A8A0850"/>
    <w:rsid w:val="2CA287C4"/>
    <w:rsid w:val="2D85E3BE"/>
    <w:rsid w:val="3043C211"/>
    <w:rsid w:val="30B3F0EA"/>
    <w:rsid w:val="30BCC71F"/>
    <w:rsid w:val="3268B29F"/>
    <w:rsid w:val="32951A35"/>
    <w:rsid w:val="373473A5"/>
    <w:rsid w:val="3847133B"/>
    <w:rsid w:val="38AEF43C"/>
    <w:rsid w:val="39112910"/>
    <w:rsid w:val="39EDA49A"/>
    <w:rsid w:val="3A70076A"/>
    <w:rsid w:val="3AE38131"/>
    <w:rsid w:val="3C43EA01"/>
    <w:rsid w:val="3C5CACBC"/>
    <w:rsid w:val="3E7344AD"/>
    <w:rsid w:val="3F4279FC"/>
    <w:rsid w:val="4146D833"/>
    <w:rsid w:val="41BC5B6E"/>
    <w:rsid w:val="4403A02C"/>
    <w:rsid w:val="4890A522"/>
    <w:rsid w:val="4CE9DA9A"/>
    <w:rsid w:val="4F1DB30E"/>
    <w:rsid w:val="4F470EB1"/>
    <w:rsid w:val="4F736778"/>
    <w:rsid w:val="51465454"/>
    <w:rsid w:val="524AD8B2"/>
    <w:rsid w:val="53384413"/>
    <w:rsid w:val="53A78626"/>
    <w:rsid w:val="5994523F"/>
    <w:rsid w:val="5C8B0851"/>
    <w:rsid w:val="5CB1FD7E"/>
    <w:rsid w:val="5CCBF301"/>
    <w:rsid w:val="5D6EDA02"/>
    <w:rsid w:val="5F961E42"/>
    <w:rsid w:val="5FA1C957"/>
    <w:rsid w:val="61B2E612"/>
    <w:rsid w:val="61C7E5B4"/>
    <w:rsid w:val="61F6C58D"/>
    <w:rsid w:val="630FFCF6"/>
    <w:rsid w:val="64CC40A2"/>
    <w:rsid w:val="652383B9"/>
    <w:rsid w:val="6C0E6AB6"/>
    <w:rsid w:val="6F0653A1"/>
    <w:rsid w:val="717FD90E"/>
    <w:rsid w:val="73BDFA83"/>
    <w:rsid w:val="7598D4F0"/>
    <w:rsid w:val="77C67850"/>
    <w:rsid w:val="7A820C0C"/>
    <w:rsid w:val="7AEF36E1"/>
    <w:rsid w:val="7B72EE96"/>
    <w:rsid w:val="7BEF3D64"/>
    <w:rsid w:val="7E599BDB"/>
    <w:rsid w:val="7E7D4C20"/>
    <w:rsid w:val="7EC64E5E"/>
    <w:rsid w:val="7FA261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190E"/>
  <w15:docId w15:val="{AAEACD70-7BDE-491C-BEEB-3305AD5E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88"/>
    <w:pPr>
      <w:jc w:val="both"/>
    </w:pPr>
    <w:rPr>
      <w:rFonts w:ascii="Arial" w:hAnsi="Arial"/>
    </w:rPr>
  </w:style>
  <w:style w:type="paragraph" w:styleId="Ttulo1">
    <w:name w:val="heading 1"/>
    <w:basedOn w:val="Normal"/>
    <w:next w:val="Normal"/>
    <w:link w:val="Ttulo1Car"/>
    <w:uiPriority w:val="9"/>
    <w:qFormat/>
    <w:rsid w:val="00F821A7"/>
    <w:pPr>
      <w:keepNext/>
      <w:keepLines/>
      <w:spacing w:before="360" w:after="12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F821A7"/>
    <w:pPr>
      <w:keepNext/>
      <w:keepLines/>
      <w:numPr>
        <w:numId w:val="2"/>
      </w:numPr>
      <w:spacing w:before="240" w:after="120"/>
      <w:outlineLvl w:val="1"/>
    </w:pPr>
    <w:rPr>
      <w:rFonts w:eastAsiaTheme="majorEastAsia" w:cstheme="majorBidi"/>
      <w:szCs w:val="26"/>
      <w:u w:val="single"/>
    </w:rPr>
  </w:style>
  <w:style w:type="paragraph" w:styleId="Ttulo3">
    <w:name w:val="heading 3"/>
    <w:basedOn w:val="Normal"/>
    <w:next w:val="Normal"/>
    <w:link w:val="Ttulo3Car"/>
    <w:uiPriority w:val="9"/>
    <w:unhideWhenUsed/>
    <w:qFormat/>
    <w:rsid w:val="006D23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D23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61383"/>
    <w:pPr>
      <w:keepNext/>
      <w:keepLines/>
      <w:spacing w:before="40" w:after="0" w:line="240" w:lineRule="auto"/>
      <w:ind w:left="1008" w:hanging="1008"/>
      <w:jc w:val="left"/>
      <w:outlineLvl w:val="4"/>
    </w:pPr>
    <w:rPr>
      <w:rFonts w:asciiTheme="majorHAnsi" w:eastAsiaTheme="majorEastAsia" w:hAnsiTheme="majorHAnsi" w:cstheme="majorBidi"/>
      <w:color w:val="2F5496" w:themeColor="accent1" w:themeShade="BF"/>
      <w:sz w:val="24"/>
      <w:szCs w:val="24"/>
      <w:lang w:val="es-CO" w:eastAsia="es-ES_tradnl"/>
    </w:rPr>
  </w:style>
  <w:style w:type="paragraph" w:styleId="Ttulo6">
    <w:name w:val="heading 6"/>
    <w:basedOn w:val="Normal"/>
    <w:next w:val="Normal"/>
    <w:link w:val="Ttulo6Car"/>
    <w:uiPriority w:val="9"/>
    <w:semiHidden/>
    <w:unhideWhenUsed/>
    <w:qFormat/>
    <w:rsid w:val="00961383"/>
    <w:pPr>
      <w:keepNext/>
      <w:keepLines/>
      <w:spacing w:before="40" w:after="0" w:line="240" w:lineRule="auto"/>
      <w:ind w:left="1152" w:hanging="1152"/>
      <w:jc w:val="left"/>
      <w:outlineLvl w:val="5"/>
    </w:pPr>
    <w:rPr>
      <w:rFonts w:asciiTheme="majorHAnsi" w:eastAsiaTheme="majorEastAsia" w:hAnsiTheme="majorHAnsi" w:cstheme="majorBidi"/>
      <w:color w:val="1F3763" w:themeColor="accent1" w:themeShade="7F"/>
      <w:sz w:val="24"/>
      <w:szCs w:val="24"/>
      <w:lang w:val="es-CO" w:eastAsia="es-ES_tradnl"/>
    </w:rPr>
  </w:style>
  <w:style w:type="paragraph" w:styleId="Ttulo7">
    <w:name w:val="heading 7"/>
    <w:basedOn w:val="Normal"/>
    <w:next w:val="Normal"/>
    <w:link w:val="Ttulo7Car"/>
    <w:uiPriority w:val="9"/>
    <w:semiHidden/>
    <w:unhideWhenUsed/>
    <w:qFormat/>
    <w:rsid w:val="00961383"/>
    <w:pPr>
      <w:keepNext/>
      <w:keepLines/>
      <w:spacing w:before="40" w:after="0" w:line="240" w:lineRule="auto"/>
      <w:ind w:left="1296" w:hanging="1296"/>
      <w:jc w:val="left"/>
      <w:outlineLvl w:val="6"/>
    </w:pPr>
    <w:rPr>
      <w:rFonts w:asciiTheme="majorHAnsi" w:eastAsiaTheme="majorEastAsia" w:hAnsiTheme="majorHAnsi" w:cstheme="majorBidi"/>
      <w:i/>
      <w:iCs/>
      <w:color w:val="1F3763" w:themeColor="accent1" w:themeShade="7F"/>
      <w:sz w:val="24"/>
      <w:szCs w:val="24"/>
      <w:lang w:val="es-CO" w:eastAsia="es-ES_tradnl"/>
    </w:rPr>
  </w:style>
  <w:style w:type="paragraph" w:styleId="Ttulo8">
    <w:name w:val="heading 8"/>
    <w:basedOn w:val="Normal"/>
    <w:next w:val="Normal"/>
    <w:link w:val="Ttulo8Car"/>
    <w:uiPriority w:val="9"/>
    <w:semiHidden/>
    <w:unhideWhenUsed/>
    <w:qFormat/>
    <w:rsid w:val="00961383"/>
    <w:pPr>
      <w:keepNext/>
      <w:keepLines/>
      <w:spacing w:before="40" w:after="0" w:line="240" w:lineRule="auto"/>
      <w:ind w:left="1440" w:hanging="1440"/>
      <w:jc w:val="left"/>
      <w:outlineLvl w:val="7"/>
    </w:pPr>
    <w:rPr>
      <w:rFonts w:asciiTheme="majorHAnsi" w:eastAsiaTheme="majorEastAsia" w:hAnsiTheme="majorHAnsi" w:cstheme="majorBidi"/>
      <w:color w:val="272727" w:themeColor="text1" w:themeTint="D8"/>
      <w:sz w:val="21"/>
      <w:szCs w:val="21"/>
      <w:lang w:val="es-CO" w:eastAsia="es-ES_tradnl"/>
    </w:rPr>
  </w:style>
  <w:style w:type="paragraph" w:styleId="Ttulo9">
    <w:name w:val="heading 9"/>
    <w:basedOn w:val="Normal"/>
    <w:next w:val="Normal"/>
    <w:link w:val="Ttulo9Car"/>
    <w:uiPriority w:val="9"/>
    <w:semiHidden/>
    <w:unhideWhenUsed/>
    <w:qFormat/>
    <w:rsid w:val="00961383"/>
    <w:pPr>
      <w:keepNext/>
      <w:keepLines/>
      <w:spacing w:before="40" w:after="0" w:line="240" w:lineRule="auto"/>
      <w:ind w:left="1584" w:hanging="1584"/>
      <w:jc w:val="left"/>
      <w:outlineLvl w:val="8"/>
    </w:pPr>
    <w:rPr>
      <w:rFonts w:asciiTheme="majorHAnsi" w:eastAsiaTheme="majorEastAsia" w:hAnsiTheme="majorHAnsi" w:cstheme="majorBidi"/>
      <w:i/>
      <w:iCs/>
      <w:color w:val="272727" w:themeColor="text1" w:themeTint="D8"/>
      <w:sz w:val="21"/>
      <w:szCs w:val="21"/>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rsid w:val="00EF1F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EF1F8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821A7"/>
    <w:rPr>
      <w:rFonts w:ascii="Arial" w:eastAsiaTheme="majorEastAsia" w:hAnsi="Arial" w:cstheme="majorBidi"/>
      <w:b/>
      <w:sz w:val="24"/>
      <w:szCs w:val="32"/>
    </w:rPr>
  </w:style>
  <w:style w:type="character" w:styleId="Hipervnculo">
    <w:name w:val="Hyperlink"/>
    <w:basedOn w:val="Fuentedeprrafopredeter"/>
    <w:uiPriority w:val="99"/>
    <w:unhideWhenUsed/>
    <w:rsid w:val="00EF1F8C"/>
    <w:rPr>
      <w:color w:val="0563C1" w:themeColor="hyperlink"/>
      <w:u w:val="single"/>
    </w:rPr>
  </w:style>
  <w:style w:type="character" w:customStyle="1" w:styleId="NichtaufgelsteErwhnung1">
    <w:name w:val="Nicht aufgelöste Erwähnung1"/>
    <w:basedOn w:val="Fuentedeprrafopredeter"/>
    <w:uiPriority w:val="99"/>
    <w:semiHidden/>
    <w:unhideWhenUsed/>
    <w:rsid w:val="00EF1F8C"/>
    <w:rPr>
      <w:color w:val="605E5C"/>
      <w:shd w:val="clear" w:color="auto" w:fill="E1DFDD"/>
    </w:rPr>
  </w:style>
  <w:style w:type="paragraph" w:styleId="Subttulo">
    <w:name w:val="Subtitle"/>
    <w:basedOn w:val="Normal"/>
    <w:next w:val="Normal"/>
    <w:link w:val="SubttuloCar"/>
    <w:uiPriority w:val="11"/>
    <w:qFormat/>
    <w:rsid w:val="00EF1F8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F1F8C"/>
    <w:rPr>
      <w:rFonts w:eastAsiaTheme="minorEastAsia"/>
      <w:color w:val="5A5A5A" w:themeColor="text1" w:themeTint="A5"/>
      <w:spacing w:val="15"/>
    </w:rPr>
  </w:style>
  <w:style w:type="paragraph" w:styleId="TDC1">
    <w:name w:val="toc 1"/>
    <w:basedOn w:val="Normal"/>
    <w:next w:val="Normal"/>
    <w:autoRedefine/>
    <w:uiPriority w:val="39"/>
    <w:unhideWhenUsed/>
    <w:rsid w:val="00151718"/>
    <w:pPr>
      <w:tabs>
        <w:tab w:val="left" w:pos="880"/>
        <w:tab w:val="right" w:leader="dot" w:pos="9350"/>
      </w:tabs>
      <w:spacing w:after="100"/>
    </w:pPr>
  </w:style>
  <w:style w:type="character" w:customStyle="1" w:styleId="Ttulo2Car">
    <w:name w:val="Título 2 Car"/>
    <w:basedOn w:val="Fuentedeprrafopredeter"/>
    <w:link w:val="Ttulo2"/>
    <w:uiPriority w:val="9"/>
    <w:rsid w:val="00F821A7"/>
    <w:rPr>
      <w:rFonts w:ascii="Arial" w:eastAsiaTheme="majorEastAsia" w:hAnsi="Arial" w:cstheme="majorBidi"/>
      <w:szCs w:val="26"/>
      <w:u w:val="single"/>
    </w:rPr>
  </w:style>
  <w:style w:type="character" w:styleId="Hipervnculovisitado">
    <w:name w:val="FollowedHyperlink"/>
    <w:basedOn w:val="Fuentedeprrafopredeter"/>
    <w:uiPriority w:val="99"/>
    <w:semiHidden/>
    <w:unhideWhenUsed/>
    <w:rsid w:val="00CC4904"/>
    <w:rPr>
      <w:color w:val="954F72" w:themeColor="followedHyperlink"/>
      <w:u w:val="single"/>
    </w:rPr>
  </w:style>
  <w:style w:type="paragraph" w:styleId="TDC2">
    <w:name w:val="toc 2"/>
    <w:basedOn w:val="Normal"/>
    <w:next w:val="Normal"/>
    <w:autoRedefine/>
    <w:uiPriority w:val="39"/>
    <w:unhideWhenUsed/>
    <w:rsid w:val="00F974AF"/>
    <w:pPr>
      <w:spacing w:after="100"/>
      <w:ind w:left="220"/>
    </w:pPr>
  </w:style>
  <w:style w:type="paragraph" w:styleId="Textonotapie">
    <w:name w:val="footnote text"/>
    <w:aliases w:val="single space,Footnote Text Char1,Footnote Text Char Char,Footnote Text Char1 Char Char,Footnote Text Char Char Char Char,Char Char Char Char Char,Char Char Char,Geneva 9,ft,DNV-FT,-E Fußnotentext,Fußnotentext Ursprung,Char, Char Char,fn,f"/>
    <w:basedOn w:val="Normal"/>
    <w:link w:val="TextonotapieCar"/>
    <w:uiPriority w:val="99"/>
    <w:unhideWhenUsed/>
    <w:qFormat/>
    <w:rsid w:val="009C7869"/>
    <w:pPr>
      <w:spacing w:after="0" w:line="240" w:lineRule="auto"/>
    </w:pPr>
    <w:rPr>
      <w:sz w:val="20"/>
      <w:szCs w:val="20"/>
    </w:rPr>
  </w:style>
  <w:style w:type="character" w:customStyle="1" w:styleId="TextonotapieCar">
    <w:name w:val="Texto nota pie Car"/>
    <w:aliases w:val="single space Car,Footnote Text Char1 Car,Footnote Text Char Char Car,Footnote Text Char1 Char Char Car,Footnote Text Char Char Char Char Car,Char Char Char Char Char Car,Char Char Char Car,Geneva 9 Car,ft Car,DNV-FT Car,Char Car,f Car"/>
    <w:basedOn w:val="Fuentedeprrafopredeter"/>
    <w:link w:val="Textonotapie"/>
    <w:uiPriority w:val="99"/>
    <w:qFormat/>
    <w:rsid w:val="009C7869"/>
    <w:rPr>
      <w:sz w:val="20"/>
      <w:szCs w:val="20"/>
    </w:rPr>
  </w:style>
  <w:style w:type="character" w:styleId="Refdenotaalpie">
    <w:name w:val="footnote reference"/>
    <w:aliases w:val="16 Point,Superscript 6 Point,ftref,(NECG) Footnote Reference,Ref,de nota al pie,Comment Text Char1,Fußnotenzeichen DISS,titulo 2,BVI fnr,Знак сноски 1,referencia nota al pie,FC,Footnote Referencefra,Ref. de nota al pie., BVI fnr,fr,F"/>
    <w:basedOn w:val="Fuentedeprrafopredeter"/>
    <w:link w:val="ftrefChar1"/>
    <w:uiPriority w:val="99"/>
    <w:unhideWhenUsed/>
    <w:qFormat/>
    <w:rsid w:val="009C7869"/>
    <w:rPr>
      <w:vertAlign w:val="superscript"/>
    </w:rPr>
  </w:style>
  <w:style w:type="paragraph" w:styleId="Bibliografa">
    <w:name w:val="Bibliography"/>
    <w:basedOn w:val="Normal"/>
    <w:next w:val="Normal"/>
    <w:uiPriority w:val="37"/>
    <w:unhideWhenUsed/>
    <w:rsid w:val="00B91585"/>
    <w:pPr>
      <w:ind w:left="720" w:hanging="720"/>
      <w:jc w:val="left"/>
    </w:pPr>
  </w:style>
  <w:style w:type="paragraph" w:customStyle="1" w:styleId="Notes">
    <w:name w:val="Notes"/>
    <w:basedOn w:val="Normal"/>
    <w:qFormat/>
    <w:rsid w:val="000D2C64"/>
    <w:pPr>
      <w:spacing w:after="60" w:line="240" w:lineRule="auto"/>
      <w:jc w:val="left"/>
    </w:pPr>
    <w:rPr>
      <w:i/>
      <w:iCs/>
      <w:sz w:val="20"/>
      <w:szCs w:val="20"/>
    </w:rPr>
  </w:style>
  <w:style w:type="character" w:customStyle="1" w:styleId="Ttulo3Car">
    <w:name w:val="Título 3 Car"/>
    <w:basedOn w:val="Fuentedeprrafopredeter"/>
    <w:link w:val="Ttulo3"/>
    <w:uiPriority w:val="9"/>
    <w:rsid w:val="006D238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D238A"/>
    <w:rPr>
      <w:rFonts w:asciiTheme="majorHAnsi" w:eastAsiaTheme="majorEastAsia" w:hAnsiTheme="majorHAnsi" w:cstheme="majorBidi"/>
      <w:i/>
      <w:iCs/>
      <w:color w:val="2F5496" w:themeColor="accent1" w:themeShade="BF"/>
    </w:rPr>
  </w:style>
  <w:style w:type="paragraph" w:styleId="Descripcin">
    <w:name w:val="caption"/>
    <w:basedOn w:val="Normal"/>
    <w:next w:val="Normal"/>
    <w:uiPriority w:val="35"/>
    <w:unhideWhenUsed/>
    <w:qFormat/>
    <w:rsid w:val="00072B3C"/>
    <w:pPr>
      <w:spacing w:after="200" w:line="240" w:lineRule="auto"/>
    </w:pPr>
    <w:rPr>
      <w:i/>
      <w:iCs/>
      <w:color w:val="44546A" w:themeColor="text2"/>
      <w:sz w:val="18"/>
      <w:szCs w:val="18"/>
    </w:rPr>
  </w:style>
  <w:style w:type="paragraph" w:styleId="Prrafodelista">
    <w:name w:val="List Paragraph"/>
    <w:aliases w:val="List Paragraph (numbered (a)),List Paragraph1,List Paragraph11,En tête 1,Heading 2_sj,Dot pt,Numbered Para 1,No Spacing1,List Paragraph Char Char Char,Indicator Text,Bullet 1,Bullet Points,MAIN CONTENT,List Paragraph12,F5 List Paragraph"/>
    <w:basedOn w:val="Normal"/>
    <w:link w:val="PrrafodelistaCar"/>
    <w:uiPriority w:val="34"/>
    <w:qFormat/>
    <w:rsid w:val="00F821A7"/>
    <w:pPr>
      <w:ind w:left="720"/>
      <w:contextualSpacing/>
    </w:pPr>
  </w:style>
  <w:style w:type="character" w:styleId="Refdecomentario">
    <w:name w:val="annotation reference"/>
    <w:basedOn w:val="Fuentedeprrafopredeter"/>
    <w:semiHidden/>
    <w:unhideWhenUsed/>
    <w:rsid w:val="002F0658"/>
    <w:rPr>
      <w:sz w:val="16"/>
      <w:szCs w:val="16"/>
    </w:rPr>
  </w:style>
  <w:style w:type="paragraph" w:styleId="Textocomentario">
    <w:name w:val="annotation text"/>
    <w:basedOn w:val="Normal"/>
    <w:link w:val="TextocomentarioCar"/>
    <w:uiPriority w:val="99"/>
    <w:unhideWhenUsed/>
    <w:rsid w:val="002F0658"/>
    <w:pPr>
      <w:spacing w:line="240" w:lineRule="auto"/>
    </w:pPr>
    <w:rPr>
      <w:sz w:val="20"/>
      <w:szCs w:val="20"/>
    </w:rPr>
  </w:style>
  <w:style w:type="character" w:customStyle="1" w:styleId="TextocomentarioCar">
    <w:name w:val="Texto comentario Car"/>
    <w:basedOn w:val="Fuentedeprrafopredeter"/>
    <w:link w:val="Textocomentario"/>
    <w:uiPriority w:val="99"/>
    <w:rsid w:val="002F0658"/>
    <w:rPr>
      <w:sz w:val="20"/>
      <w:szCs w:val="20"/>
    </w:rPr>
  </w:style>
  <w:style w:type="paragraph" w:styleId="Asuntodelcomentario">
    <w:name w:val="annotation subject"/>
    <w:basedOn w:val="Textocomentario"/>
    <w:next w:val="Textocomentario"/>
    <w:link w:val="AsuntodelcomentarioCar"/>
    <w:uiPriority w:val="99"/>
    <w:semiHidden/>
    <w:unhideWhenUsed/>
    <w:rsid w:val="002F0658"/>
    <w:rPr>
      <w:b/>
      <w:bCs/>
    </w:rPr>
  </w:style>
  <w:style w:type="character" w:customStyle="1" w:styleId="AsuntodelcomentarioCar">
    <w:name w:val="Asunto del comentario Car"/>
    <w:basedOn w:val="TextocomentarioCar"/>
    <w:link w:val="Asuntodelcomentario"/>
    <w:uiPriority w:val="99"/>
    <w:semiHidden/>
    <w:rsid w:val="002F0658"/>
    <w:rPr>
      <w:b/>
      <w:bCs/>
      <w:sz w:val="20"/>
      <w:szCs w:val="20"/>
    </w:rPr>
  </w:style>
  <w:style w:type="paragraph" w:customStyle="1" w:styleId="Source">
    <w:name w:val="Source"/>
    <w:basedOn w:val="Normal"/>
    <w:qFormat/>
    <w:rsid w:val="00A8302F"/>
    <w:pPr>
      <w:spacing w:after="240"/>
      <w:jc w:val="center"/>
    </w:pPr>
    <w:rPr>
      <w:sz w:val="20"/>
    </w:rPr>
  </w:style>
  <w:style w:type="character" w:customStyle="1" w:styleId="Ttulo5Car">
    <w:name w:val="Título 5 Car"/>
    <w:basedOn w:val="Fuentedeprrafopredeter"/>
    <w:link w:val="Ttulo5"/>
    <w:uiPriority w:val="9"/>
    <w:semiHidden/>
    <w:rsid w:val="00961383"/>
    <w:rPr>
      <w:rFonts w:asciiTheme="majorHAnsi" w:eastAsiaTheme="majorEastAsia" w:hAnsiTheme="majorHAnsi" w:cstheme="majorBidi"/>
      <w:color w:val="2F5496" w:themeColor="accent1" w:themeShade="BF"/>
      <w:sz w:val="24"/>
      <w:szCs w:val="24"/>
      <w:lang w:val="es-CO" w:eastAsia="es-ES_tradnl"/>
    </w:rPr>
  </w:style>
  <w:style w:type="character" w:customStyle="1" w:styleId="Ttulo6Car">
    <w:name w:val="Título 6 Car"/>
    <w:basedOn w:val="Fuentedeprrafopredeter"/>
    <w:link w:val="Ttulo6"/>
    <w:uiPriority w:val="9"/>
    <w:semiHidden/>
    <w:rsid w:val="00961383"/>
    <w:rPr>
      <w:rFonts w:asciiTheme="majorHAnsi" w:eastAsiaTheme="majorEastAsia" w:hAnsiTheme="majorHAnsi" w:cstheme="majorBidi"/>
      <w:color w:val="1F3763" w:themeColor="accent1" w:themeShade="7F"/>
      <w:sz w:val="24"/>
      <w:szCs w:val="24"/>
      <w:lang w:val="es-CO" w:eastAsia="es-ES_tradnl"/>
    </w:rPr>
  </w:style>
  <w:style w:type="character" w:customStyle="1" w:styleId="Ttulo7Car">
    <w:name w:val="Título 7 Car"/>
    <w:basedOn w:val="Fuentedeprrafopredeter"/>
    <w:link w:val="Ttulo7"/>
    <w:uiPriority w:val="9"/>
    <w:semiHidden/>
    <w:rsid w:val="00961383"/>
    <w:rPr>
      <w:rFonts w:asciiTheme="majorHAnsi" w:eastAsiaTheme="majorEastAsia" w:hAnsiTheme="majorHAnsi" w:cstheme="majorBidi"/>
      <w:i/>
      <w:iCs/>
      <w:color w:val="1F3763" w:themeColor="accent1" w:themeShade="7F"/>
      <w:sz w:val="24"/>
      <w:szCs w:val="24"/>
      <w:lang w:val="es-CO" w:eastAsia="es-ES_tradnl"/>
    </w:rPr>
  </w:style>
  <w:style w:type="character" w:customStyle="1" w:styleId="Ttulo8Car">
    <w:name w:val="Título 8 Car"/>
    <w:basedOn w:val="Fuentedeprrafopredeter"/>
    <w:link w:val="Ttulo8"/>
    <w:uiPriority w:val="9"/>
    <w:semiHidden/>
    <w:rsid w:val="00961383"/>
    <w:rPr>
      <w:rFonts w:asciiTheme="majorHAnsi" w:eastAsiaTheme="majorEastAsia" w:hAnsiTheme="majorHAnsi" w:cstheme="majorBidi"/>
      <w:color w:val="272727" w:themeColor="text1" w:themeTint="D8"/>
      <w:sz w:val="21"/>
      <w:szCs w:val="21"/>
      <w:lang w:val="es-CO" w:eastAsia="es-ES_tradnl"/>
    </w:rPr>
  </w:style>
  <w:style w:type="character" w:customStyle="1" w:styleId="Ttulo9Car">
    <w:name w:val="Título 9 Car"/>
    <w:basedOn w:val="Fuentedeprrafopredeter"/>
    <w:link w:val="Ttulo9"/>
    <w:uiPriority w:val="9"/>
    <w:semiHidden/>
    <w:rsid w:val="00961383"/>
    <w:rPr>
      <w:rFonts w:asciiTheme="majorHAnsi" w:eastAsiaTheme="majorEastAsia" w:hAnsiTheme="majorHAnsi" w:cstheme="majorBidi"/>
      <w:i/>
      <w:iCs/>
      <w:color w:val="272727" w:themeColor="text1" w:themeTint="D8"/>
      <w:sz w:val="21"/>
      <w:szCs w:val="21"/>
      <w:lang w:val="es-CO" w:eastAsia="es-ES_tradnl"/>
    </w:rPr>
  </w:style>
  <w:style w:type="table" w:styleId="Tablaconcuadrcula">
    <w:name w:val="Table Grid"/>
    <w:aliases w:val="Table Format 1,HTG,Tabela Renova,CV table,CV1"/>
    <w:basedOn w:val="Tablanormal"/>
    <w:uiPriority w:val="59"/>
    <w:qFormat/>
    <w:rsid w:val="009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Body GGF"/>
    <w:link w:val="SinespaciadoCar"/>
    <w:uiPriority w:val="1"/>
    <w:qFormat/>
    <w:rsid w:val="00961383"/>
    <w:pPr>
      <w:spacing w:after="0" w:line="240" w:lineRule="auto"/>
    </w:pPr>
  </w:style>
  <w:style w:type="character" w:customStyle="1" w:styleId="SinespaciadoCar">
    <w:name w:val="Sin espaciado Car"/>
    <w:aliases w:val="Body GGF Car"/>
    <w:link w:val="Sinespaciado"/>
    <w:uiPriority w:val="1"/>
    <w:locked/>
    <w:rsid w:val="00961383"/>
  </w:style>
  <w:style w:type="paragraph" w:styleId="Encabezado">
    <w:name w:val="header"/>
    <w:basedOn w:val="Normal"/>
    <w:link w:val="EncabezadoCar"/>
    <w:uiPriority w:val="99"/>
    <w:unhideWhenUsed/>
    <w:rsid w:val="00961383"/>
    <w:pPr>
      <w:tabs>
        <w:tab w:val="center" w:pos="4513"/>
        <w:tab w:val="right" w:pos="9026"/>
      </w:tabs>
      <w:spacing w:after="0" w:line="240" w:lineRule="auto"/>
      <w:jc w:val="left"/>
    </w:pPr>
    <w:rPr>
      <w:rFonts w:ascii="Times New Roman" w:eastAsia="Times New Roman" w:hAnsi="Times New Roman" w:cs="Times New Roman"/>
      <w:sz w:val="24"/>
      <w:szCs w:val="24"/>
      <w:lang w:val="es-CO" w:eastAsia="es-ES_tradnl"/>
    </w:rPr>
  </w:style>
  <w:style w:type="character" w:customStyle="1" w:styleId="EncabezadoCar">
    <w:name w:val="Encabezado Car"/>
    <w:basedOn w:val="Fuentedeprrafopredeter"/>
    <w:link w:val="Encabezado"/>
    <w:uiPriority w:val="99"/>
    <w:rsid w:val="00961383"/>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961383"/>
    <w:pPr>
      <w:tabs>
        <w:tab w:val="center" w:pos="4513"/>
        <w:tab w:val="right" w:pos="9026"/>
      </w:tabs>
      <w:spacing w:after="0" w:line="240" w:lineRule="auto"/>
      <w:jc w:val="left"/>
    </w:pPr>
    <w:rPr>
      <w:rFonts w:ascii="Times New Roman" w:eastAsia="Times New Roman" w:hAnsi="Times New Roman" w:cs="Times New Roman"/>
      <w:sz w:val="24"/>
      <w:szCs w:val="24"/>
      <w:lang w:val="es-CO" w:eastAsia="es-ES_tradnl"/>
    </w:rPr>
  </w:style>
  <w:style w:type="character" w:customStyle="1" w:styleId="PiedepginaCar">
    <w:name w:val="Pie de página Car"/>
    <w:basedOn w:val="Fuentedeprrafopredeter"/>
    <w:link w:val="Piedepgina"/>
    <w:uiPriority w:val="99"/>
    <w:rsid w:val="00961383"/>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List Paragraph (numbered (a)) Car,List Paragraph1 Car,List Paragraph11 Car,En tête 1 Car,Heading 2_sj Car,Dot pt Car,Numbered Para 1 Car,No Spacing1 Car,List Paragraph Char Char Char Car,Indicator Text Car,Bullet 1 Car"/>
    <w:basedOn w:val="Fuentedeprrafopredeter"/>
    <w:link w:val="Prrafodelista"/>
    <w:uiPriority w:val="34"/>
    <w:qFormat/>
    <w:locked/>
    <w:rsid w:val="00F821A7"/>
    <w:rPr>
      <w:rFonts w:ascii="Arial" w:hAnsi="Arial"/>
    </w:rPr>
  </w:style>
  <w:style w:type="character" w:styleId="Textodelmarcadordeposicin">
    <w:name w:val="Placeholder Text"/>
    <w:basedOn w:val="Fuentedeprrafopredeter"/>
    <w:uiPriority w:val="99"/>
    <w:semiHidden/>
    <w:rsid w:val="00961383"/>
    <w:rPr>
      <w:color w:val="808080"/>
    </w:rPr>
  </w:style>
  <w:style w:type="paragraph" w:styleId="Textodeglobo">
    <w:name w:val="Balloon Text"/>
    <w:basedOn w:val="Normal"/>
    <w:link w:val="TextodegloboCar"/>
    <w:uiPriority w:val="99"/>
    <w:semiHidden/>
    <w:unhideWhenUsed/>
    <w:rsid w:val="00961383"/>
    <w:pPr>
      <w:spacing w:after="0" w:line="240" w:lineRule="auto"/>
      <w:jc w:val="left"/>
    </w:pPr>
    <w:rPr>
      <w:rFonts w:ascii="Segoe UI" w:eastAsia="Times New Roman" w:hAnsi="Segoe UI" w:cs="Segoe UI"/>
      <w:sz w:val="18"/>
      <w:szCs w:val="18"/>
      <w:lang w:val="es-CO" w:eastAsia="es-ES_tradnl"/>
    </w:rPr>
  </w:style>
  <w:style w:type="character" w:customStyle="1" w:styleId="TextodegloboCar">
    <w:name w:val="Texto de globo Car"/>
    <w:basedOn w:val="Fuentedeprrafopredeter"/>
    <w:link w:val="Textodeglobo"/>
    <w:uiPriority w:val="99"/>
    <w:semiHidden/>
    <w:rsid w:val="00961383"/>
    <w:rPr>
      <w:rFonts w:ascii="Segoe UI" w:eastAsia="Times New Roman" w:hAnsi="Segoe UI" w:cs="Segoe UI"/>
      <w:sz w:val="18"/>
      <w:szCs w:val="18"/>
      <w:lang w:val="es-CO" w:eastAsia="es-ES_tradnl"/>
    </w:rPr>
  </w:style>
  <w:style w:type="paragraph" w:styleId="TtuloTDC">
    <w:name w:val="TOC Heading"/>
    <w:basedOn w:val="Ttulo1"/>
    <w:next w:val="Normal"/>
    <w:uiPriority w:val="39"/>
    <w:unhideWhenUsed/>
    <w:qFormat/>
    <w:rsid w:val="00961383"/>
    <w:pPr>
      <w:spacing w:before="240" w:after="0" w:line="240" w:lineRule="auto"/>
      <w:ind w:left="432" w:hanging="432"/>
      <w:jc w:val="left"/>
      <w:outlineLvl w:val="9"/>
    </w:pPr>
    <w:rPr>
      <w:b w:val="0"/>
      <w:color w:val="2F5496" w:themeColor="accent1" w:themeShade="BF"/>
      <w:sz w:val="32"/>
      <w:lang w:val="es-CO" w:eastAsia="es-ES_tradnl"/>
    </w:rPr>
  </w:style>
  <w:style w:type="paragraph" w:styleId="TDC3">
    <w:name w:val="toc 3"/>
    <w:basedOn w:val="Normal"/>
    <w:next w:val="Normal"/>
    <w:autoRedefine/>
    <w:uiPriority w:val="39"/>
    <w:unhideWhenUsed/>
    <w:rsid w:val="00961383"/>
    <w:pPr>
      <w:spacing w:after="100" w:line="240" w:lineRule="auto"/>
      <w:ind w:left="440"/>
      <w:jc w:val="left"/>
    </w:pPr>
    <w:rPr>
      <w:rFonts w:ascii="Times New Roman" w:eastAsia="Times New Roman" w:hAnsi="Times New Roman" w:cs="Times New Roman"/>
      <w:sz w:val="24"/>
      <w:szCs w:val="24"/>
      <w:lang w:val="es-CO" w:eastAsia="es-ES_tradnl"/>
    </w:rPr>
  </w:style>
  <w:style w:type="paragraph" w:customStyle="1" w:styleId="Default">
    <w:name w:val="Default"/>
    <w:rsid w:val="00961383"/>
    <w:pPr>
      <w:autoSpaceDE w:val="0"/>
      <w:autoSpaceDN w:val="0"/>
      <w:adjustRightInd w:val="0"/>
      <w:spacing w:after="0" w:line="240" w:lineRule="auto"/>
    </w:pPr>
    <w:rPr>
      <w:rFonts w:ascii="Calibri" w:hAnsi="Calibri" w:cs="Calibri"/>
      <w:color w:val="000000"/>
      <w:sz w:val="24"/>
      <w:szCs w:val="24"/>
      <w:lang w:val="en-US"/>
    </w:rPr>
  </w:style>
  <w:style w:type="paragraph" w:styleId="Textoindependiente">
    <w:name w:val="Body Text"/>
    <w:basedOn w:val="Normal"/>
    <w:link w:val="TextoindependienteCar"/>
    <w:uiPriority w:val="1"/>
    <w:qFormat/>
    <w:rsid w:val="00F821A7"/>
    <w:pPr>
      <w:widowControl w:val="0"/>
      <w:autoSpaceDE w:val="0"/>
      <w:autoSpaceDN w:val="0"/>
      <w:spacing w:after="0" w:line="240" w:lineRule="auto"/>
      <w:jc w:val="left"/>
    </w:pPr>
    <w:rPr>
      <w:rFonts w:eastAsia="Calibri" w:cs="Calibri"/>
      <w:lang w:val="fr-FR"/>
    </w:rPr>
  </w:style>
  <w:style w:type="character" w:customStyle="1" w:styleId="TextoindependienteCar">
    <w:name w:val="Texto independiente Car"/>
    <w:basedOn w:val="Fuentedeprrafopredeter"/>
    <w:link w:val="Textoindependiente"/>
    <w:uiPriority w:val="1"/>
    <w:rsid w:val="00F821A7"/>
    <w:rPr>
      <w:rFonts w:ascii="Arial" w:eastAsia="Calibri" w:hAnsi="Arial" w:cs="Calibri"/>
      <w:lang w:val="fr-FR"/>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16 Point Char,Ref Char,fr Char1"/>
    <w:basedOn w:val="Normal"/>
    <w:link w:val="Refdenotaalpie"/>
    <w:uiPriority w:val="99"/>
    <w:qFormat/>
    <w:rsid w:val="00961383"/>
    <w:pPr>
      <w:spacing w:line="240" w:lineRule="exact"/>
      <w:jc w:val="left"/>
    </w:pPr>
    <w:rPr>
      <w:vertAlign w:val="superscript"/>
    </w:rPr>
  </w:style>
  <w:style w:type="paragraph" w:customStyle="1" w:styleId="TableParagraph">
    <w:name w:val="Table Paragraph"/>
    <w:basedOn w:val="Normal"/>
    <w:uiPriority w:val="1"/>
    <w:qFormat/>
    <w:rsid w:val="00961383"/>
    <w:pPr>
      <w:widowControl w:val="0"/>
      <w:autoSpaceDE w:val="0"/>
      <w:autoSpaceDN w:val="0"/>
      <w:spacing w:after="0" w:line="240" w:lineRule="auto"/>
      <w:ind w:left="107"/>
      <w:jc w:val="left"/>
    </w:pPr>
    <w:rPr>
      <w:rFonts w:ascii="Calibri" w:eastAsia="Calibri" w:hAnsi="Calibri" w:cs="Calibri"/>
      <w:lang w:val="fr-FR"/>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61383"/>
    <w:pPr>
      <w:spacing w:line="240" w:lineRule="exact"/>
      <w:jc w:val="left"/>
    </w:pPr>
    <w:rPr>
      <w:rFonts w:eastAsiaTheme="minorEastAsia"/>
      <w:sz w:val="24"/>
      <w:szCs w:val="24"/>
      <w:vertAlign w:val="superscript"/>
      <w:lang w:val="en-CA"/>
    </w:rPr>
  </w:style>
  <w:style w:type="character" w:styleId="Nmerodepgina">
    <w:name w:val="page number"/>
    <w:basedOn w:val="Fuentedeprrafopredeter"/>
    <w:uiPriority w:val="99"/>
    <w:semiHidden/>
    <w:unhideWhenUsed/>
    <w:rsid w:val="00961383"/>
  </w:style>
  <w:style w:type="table" w:customStyle="1" w:styleId="TableNormal1">
    <w:name w:val="Table Normal1"/>
    <w:uiPriority w:val="2"/>
    <w:semiHidden/>
    <w:unhideWhenUsed/>
    <w:qFormat/>
    <w:rsid w:val="009613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961383"/>
    <w:pPr>
      <w:spacing w:after="0" w:line="240" w:lineRule="auto"/>
    </w:pPr>
    <w:rPr>
      <w:rFonts w:ascii="Times New Roman" w:eastAsia="Times New Roman" w:hAnsi="Times New Roman" w:cs="Times New Roman"/>
      <w:sz w:val="24"/>
      <w:szCs w:val="24"/>
      <w:lang w:val="es-CO" w:eastAsia="es-ES_tradnl"/>
    </w:rPr>
  </w:style>
  <w:style w:type="paragraph" w:customStyle="1" w:styleId="StandardNew">
    <w:name w:val="Standard New"/>
    <w:basedOn w:val="Normal"/>
    <w:qFormat/>
    <w:rsid w:val="00805545"/>
    <w:pPr>
      <w:spacing w:before="40" w:after="120"/>
    </w:pPr>
    <w:rPr>
      <w:rFonts w:eastAsiaTheme="minorEastAsia"/>
      <w:iCs/>
      <w:color w:val="000000" w:themeColor="text1"/>
      <w:sz w:val="20"/>
      <w:szCs w:val="20"/>
      <w:lang w:eastAsia="ja-JP"/>
    </w:rPr>
  </w:style>
  <w:style w:type="table" w:customStyle="1" w:styleId="PlainTable11">
    <w:name w:val="Plain Table 11"/>
    <w:basedOn w:val="Tablanormal"/>
    <w:uiPriority w:val="41"/>
    <w:rsid w:val="00F77EFA"/>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2">
    <w:name w:val="Table Normal2"/>
    <w:uiPriority w:val="2"/>
    <w:semiHidden/>
    <w:unhideWhenUsed/>
    <w:qFormat/>
    <w:rsid w:val="00605C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basedOn w:val="Tablanormal"/>
    <w:next w:val="Tablaconcuadrcula"/>
    <w:uiPriority w:val="39"/>
    <w:rsid w:val="00624C3A"/>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Sinespaciado"/>
    <w:qFormat/>
    <w:rsid w:val="00DD6165"/>
    <w:pPr>
      <w:framePr w:hSpace="187" w:wrap="around" w:hAnchor="margin" w:xAlign="center" w:y="1"/>
      <w:spacing w:after="60"/>
      <w:jc w:val="center"/>
    </w:pPr>
    <w:rPr>
      <w:rFonts w:asciiTheme="minorBidi" w:eastAsiaTheme="minorEastAsia" w:hAnsiTheme="minorBidi"/>
      <w:b/>
      <w:bCs/>
      <w:color w:val="000000" w:themeColor="text1"/>
      <w:sz w:val="18"/>
      <w:szCs w:val="18"/>
      <w:lang w:eastAsia="ja-JP"/>
    </w:rPr>
  </w:style>
  <w:style w:type="table" w:styleId="Tablaconcuadrcula1clara">
    <w:name w:val="Grid Table 1 Light"/>
    <w:basedOn w:val="Tablanormal"/>
    <w:uiPriority w:val="46"/>
    <w:rsid w:val="009633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unhideWhenUsed/>
    <w:rsid w:val="00B20F21"/>
    <w:rPr>
      <w:color w:val="605E5C"/>
      <w:shd w:val="clear" w:color="auto" w:fill="E1DFDD"/>
    </w:rPr>
  </w:style>
  <w:style w:type="paragraph" w:customStyle="1" w:styleId="Vieta1">
    <w:name w:val="Viñeta 1"/>
    <w:basedOn w:val="Normal"/>
    <w:uiPriority w:val="99"/>
    <w:qFormat/>
    <w:rsid w:val="005436E2"/>
    <w:pPr>
      <w:numPr>
        <w:numId w:val="58"/>
      </w:numPr>
      <w:spacing w:after="0" w:line="276" w:lineRule="auto"/>
    </w:pPr>
    <w:rPr>
      <w:rFonts w:eastAsia="Times New Roman" w:cs="Times New Roman"/>
      <w:sz w:val="20"/>
      <w:szCs w:val="24"/>
      <w:lang w:val="es-ES"/>
    </w:rPr>
  </w:style>
  <w:style w:type="paragraph" w:styleId="HTMLconformatoprevio">
    <w:name w:val="HTML Preformatted"/>
    <w:basedOn w:val="Normal"/>
    <w:link w:val="HTMLconformatoprevioCar"/>
    <w:uiPriority w:val="99"/>
    <w:unhideWhenUsed/>
    <w:rsid w:val="00F60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F606EF"/>
    <w:rPr>
      <w:rFonts w:ascii="Courier New" w:eastAsia="Times New Roman" w:hAnsi="Courier New" w:cs="Courier New"/>
      <w:sz w:val="20"/>
      <w:szCs w:val="20"/>
      <w:lang w:val="es-AR" w:eastAsia="es-AR"/>
    </w:rPr>
  </w:style>
  <w:style w:type="character" w:customStyle="1" w:styleId="y2iqfc">
    <w:name w:val="y2iqfc"/>
    <w:basedOn w:val="Fuentedeprrafopredeter"/>
    <w:rsid w:val="00F606EF"/>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uiPriority w:val="99"/>
    <w:rsid w:val="001A27DD"/>
    <w:pPr>
      <w:spacing w:line="240" w:lineRule="exact"/>
      <w:jc w:val="left"/>
    </w:pPr>
    <w:rPr>
      <w:rFonts w:ascii="Times New Roman" w:hAnsi="Times New Roman"/>
      <w:sz w:val="24"/>
      <w:vertAlign w:val="superscript"/>
      <w:lang w:val="en-US"/>
    </w:rPr>
  </w:style>
  <w:style w:type="paragraph" w:customStyle="1" w:styleId="Sinespaciado1">
    <w:name w:val="Sin espaciado1"/>
    <w:basedOn w:val="Normal"/>
    <w:qFormat/>
    <w:rsid w:val="00BF411D"/>
    <w:pPr>
      <w:spacing w:after="0" w:line="240" w:lineRule="auto"/>
    </w:pPr>
    <w:rPr>
      <w:rFonts w:asciiTheme="minorHAnsi" w:hAnsiTheme="minorHAnsi"/>
      <w:noProof/>
      <w:sz w:val="20"/>
      <w:lang w:val="en-US"/>
    </w:rPr>
  </w:style>
  <w:style w:type="character" w:styleId="Mencionar">
    <w:name w:val="Mention"/>
    <w:basedOn w:val="Fuentedeprrafopredeter"/>
    <w:uiPriority w:val="99"/>
    <w:unhideWhenUsed/>
    <w:rsid w:val="004D5105"/>
    <w:rPr>
      <w:color w:val="2B579A"/>
      <w:shd w:val="clear" w:color="auto" w:fill="E1DFDD"/>
    </w:rPr>
  </w:style>
  <w:style w:type="paragraph" w:styleId="NormalWeb">
    <w:name w:val="Normal (Web)"/>
    <w:basedOn w:val="Normal"/>
    <w:uiPriority w:val="99"/>
    <w:semiHidden/>
    <w:unhideWhenUsed/>
    <w:rsid w:val="00B51F16"/>
    <w:pPr>
      <w:spacing w:before="100" w:beforeAutospacing="1" w:after="100" w:afterAutospacing="1" w:line="240" w:lineRule="auto"/>
      <w:jc w:val="left"/>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7">
      <w:bodyDiv w:val="1"/>
      <w:marLeft w:val="0"/>
      <w:marRight w:val="0"/>
      <w:marTop w:val="0"/>
      <w:marBottom w:val="0"/>
      <w:divBdr>
        <w:top w:val="none" w:sz="0" w:space="0" w:color="auto"/>
        <w:left w:val="none" w:sz="0" w:space="0" w:color="auto"/>
        <w:bottom w:val="none" w:sz="0" w:space="0" w:color="auto"/>
        <w:right w:val="none" w:sz="0" w:space="0" w:color="auto"/>
      </w:divBdr>
    </w:div>
    <w:div w:id="3486015">
      <w:bodyDiv w:val="1"/>
      <w:marLeft w:val="0"/>
      <w:marRight w:val="0"/>
      <w:marTop w:val="0"/>
      <w:marBottom w:val="0"/>
      <w:divBdr>
        <w:top w:val="none" w:sz="0" w:space="0" w:color="auto"/>
        <w:left w:val="none" w:sz="0" w:space="0" w:color="auto"/>
        <w:bottom w:val="none" w:sz="0" w:space="0" w:color="auto"/>
        <w:right w:val="none" w:sz="0" w:space="0" w:color="auto"/>
      </w:divBdr>
    </w:div>
    <w:div w:id="3822038">
      <w:bodyDiv w:val="1"/>
      <w:marLeft w:val="0"/>
      <w:marRight w:val="0"/>
      <w:marTop w:val="0"/>
      <w:marBottom w:val="0"/>
      <w:divBdr>
        <w:top w:val="none" w:sz="0" w:space="0" w:color="auto"/>
        <w:left w:val="none" w:sz="0" w:space="0" w:color="auto"/>
        <w:bottom w:val="none" w:sz="0" w:space="0" w:color="auto"/>
        <w:right w:val="none" w:sz="0" w:space="0" w:color="auto"/>
      </w:divBdr>
    </w:div>
    <w:div w:id="5716808">
      <w:bodyDiv w:val="1"/>
      <w:marLeft w:val="0"/>
      <w:marRight w:val="0"/>
      <w:marTop w:val="0"/>
      <w:marBottom w:val="0"/>
      <w:divBdr>
        <w:top w:val="none" w:sz="0" w:space="0" w:color="auto"/>
        <w:left w:val="none" w:sz="0" w:space="0" w:color="auto"/>
        <w:bottom w:val="none" w:sz="0" w:space="0" w:color="auto"/>
        <w:right w:val="none" w:sz="0" w:space="0" w:color="auto"/>
      </w:divBdr>
    </w:div>
    <w:div w:id="12537661">
      <w:bodyDiv w:val="1"/>
      <w:marLeft w:val="0"/>
      <w:marRight w:val="0"/>
      <w:marTop w:val="0"/>
      <w:marBottom w:val="0"/>
      <w:divBdr>
        <w:top w:val="none" w:sz="0" w:space="0" w:color="auto"/>
        <w:left w:val="none" w:sz="0" w:space="0" w:color="auto"/>
        <w:bottom w:val="none" w:sz="0" w:space="0" w:color="auto"/>
        <w:right w:val="none" w:sz="0" w:space="0" w:color="auto"/>
      </w:divBdr>
    </w:div>
    <w:div w:id="16854510">
      <w:bodyDiv w:val="1"/>
      <w:marLeft w:val="0"/>
      <w:marRight w:val="0"/>
      <w:marTop w:val="0"/>
      <w:marBottom w:val="0"/>
      <w:divBdr>
        <w:top w:val="none" w:sz="0" w:space="0" w:color="auto"/>
        <w:left w:val="none" w:sz="0" w:space="0" w:color="auto"/>
        <w:bottom w:val="none" w:sz="0" w:space="0" w:color="auto"/>
        <w:right w:val="none" w:sz="0" w:space="0" w:color="auto"/>
      </w:divBdr>
    </w:div>
    <w:div w:id="17705277">
      <w:bodyDiv w:val="1"/>
      <w:marLeft w:val="0"/>
      <w:marRight w:val="0"/>
      <w:marTop w:val="0"/>
      <w:marBottom w:val="0"/>
      <w:divBdr>
        <w:top w:val="none" w:sz="0" w:space="0" w:color="auto"/>
        <w:left w:val="none" w:sz="0" w:space="0" w:color="auto"/>
        <w:bottom w:val="none" w:sz="0" w:space="0" w:color="auto"/>
        <w:right w:val="none" w:sz="0" w:space="0" w:color="auto"/>
      </w:divBdr>
    </w:div>
    <w:div w:id="36861884">
      <w:bodyDiv w:val="1"/>
      <w:marLeft w:val="0"/>
      <w:marRight w:val="0"/>
      <w:marTop w:val="0"/>
      <w:marBottom w:val="0"/>
      <w:divBdr>
        <w:top w:val="none" w:sz="0" w:space="0" w:color="auto"/>
        <w:left w:val="none" w:sz="0" w:space="0" w:color="auto"/>
        <w:bottom w:val="none" w:sz="0" w:space="0" w:color="auto"/>
        <w:right w:val="none" w:sz="0" w:space="0" w:color="auto"/>
      </w:divBdr>
    </w:div>
    <w:div w:id="44331467">
      <w:bodyDiv w:val="1"/>
      <w:marLeft w:val="0"/>
      <w:marRight w:val="0"/>
      <w:marTop w:val="0"/>
      <w:marBottom w:val="0"/>
      <w:divBdr>
        <w:top w:val="none" w:sz="0" w:space="0" w:color="auto"/>
        <w:left w:val="none" w:sz="0" w:space="0" w:color="auto"/>
        <w:bottom w:val="none" w:sz="0" w:space="0" w:color="auto"/>
        <w:right w:val="none" w:sz="0" w:space="0" w:color="auto"/>
      </w:divBdr>
    </w:div>
    <w:div w:id="63188385">
      <w:bodyDiv w:val="1"/>
      <w:marLeft w:val="0"/>
      <w:marRight w:val="0"/>
      <w:marTop w:val="0"/>
      <w:marBottom w:val="0"/>
      <w:divBdr>
        <w:top w:val="none" w:sz="0" w:space="0" w:color="auto"/>
        <w:left w:val="none" w:sz="0" w:space="0" w:color="auto"/>
        <w:bottom w:val="none" w:sz="0" w:space="0" w:color="auto"/>
        <w:right w:val="none" w:sz="0" w:space="0" w:color="auto"/>
      </w:divBdr>
    </w:div>
    <w:div w:id="68189040">
      <w:bodyDiv w:val="1"/>
      <w:marLeft w:val="0"/>
      <w:marRight w:val="0"/>
      <w:marTop w:val="0"/>
      <w:marBottom w:val="0"/>
      <w:divBdr>
        <w:top w:val="none" w:sz="0" w:space="0" w:color="auto"/>
        <w:left w:val="none" w:sz="0" w:space="0" w:color="auto"/>
        <w:bottom w:val="none" w:sz="0" w:space="0" w:color="auto"/>
        <w:right w:val="none" w:sz="0" w:space="0" w:color="auto"/>
      </w:divBdr>
    </w:div>
    <w:div w:id="74474964">
      <w:bodyDiv w:val="1"/>
      <w:marLeft w:val="0"/>
      <w:marRight w:val="0"/>
      <w:marTop w:val="0"/>
      <w:marBottom w:val="0"/>
      <w:divBdr>
        <w:top w:val="none" w:sz="0" w:space="0" w:color="auto"/>
        <w:left w:val="none" w:sz="0" w:space="0" w:color="auto"/>
        <w:bottom w:val="none" w:sz="0" w:space="0" w:color="auto"/>
        <w:right w:val="none" w:sz="0" w:space="0" w:color="auto"/>
      </w:divBdr>
    </w:div>
    <w:div w:id="81992503">
      <w:bodyDiv w:val="1"/>
      <w:marLeft w:val="0"/>
      <w:marRight w:val="0"/>
      <w:marTop w:val="0"/>
      <w:marBottom w:val="0"/>
      <w:divBdr>
        <w:top w:val="none" w:sz="0" w:space="0" w:color="auto"/>
        <w:left w:val="none" w:sz="0" w:space="0" w:color="auto"/>
        <w:bottom w:val="none" w:sz="0" w:space="0" w:color="auto"/>
        <w:right w:val="none" w:sz="0" w:space="0" w:color="auto"/>
      </w:divBdr>
    </w:div>
    <w:div w:id="83455097">
      <w:bodyDiv w:val="1"/>
      <w:marLeft w:val="0"/>
      <w:marRight w:val="0"/>
      <w:marTop w:val="0"/>
      <w:marBottom w:val="0"/>
      <w:divBdr>
        <w:top w:val="none" w:sz="0" w:space="0" w:color="auto"/>
        <w:left w:val="none" w:sz="0" w:space="0" w:color="auto"/>
        <w:bottom w:val="none" w:sz="0" w:space="0" w:color="auto"/>
        <w:right w:val="none" w:sz="0" w:space="0" w:color="auto"/>
      </w:divBdr>
    </w:div>
    <w:div w:id="85541111">
      <w:bodyDiv w:val="1"/>
      <w:marLeft w:val="0"/>
      <w:marRight w:val="0"/>
      <w:marTop w:val="0"/>
      <w:marBottom w:val="0"/>
      <w:divBdr>
        <w:top w:val="none" w:sz="0" w:space="0" w:color="auto"/>
        <w:left w:val="none" w:sz="0" w:space="0" w:color="auto"/>
        <w:bottom w:val="none" w:sz="0" w:space="0" w:color="auto"/>
        <w:right w:val="none" w:sz="0" w:space="0" w:color="auto"/>
      </w:divBdr>
    </w:div>
    <w:div w:id="89931830">
      <w:bodyDiv w:val="1"/>
      <w:marLeft w:val="0"/>
      <w:marRight w:val="0"/>
      <w:marTop w:val="0"/>
      <w:marBottom w:val="0"/>
      <w:divBdr>
        <w:top w:val="none" w:sz="0" w:space="0" w:color="auto"/>
        <w:left w:val="none" w:sz="0" w:space="0" w:color="auto"/>
        <w:bottom w:val="none" w:sz="0" w:space="0" w:color="auto"/>
        <w:right w:val="none" w:sz="0" w:space="0" w:color="auto"/>
      </w:divBdr>
    </w:div>
    <w:div w:id="92747668">
      <w:bodyDiv w:val="1"/>
      <w:marLeft w:val="0"/>
      <w:marRight w:val="0"/>
      <w:marTop w:val="0"/>
      <w:marBottom w:val="0"/>
      <w:divBdr>
        <w:top w:val="none" w:sz="0" w:space="0" w:color="auto"/>
        <w:left w:val="none" w:sz="0" w:space="0" w:color="auto"/>
        <w:bottom w:val="none" w:sz="0" w:space="0" w:color="auto"/>
        <w:right w:val="none" w:sz="0" w:space="0" w:color="auto"/>
      </w:divBdr>
    </w:div>
    <w:div w:id="93288728">
      <w:bodyDiv w:val="1"/>
      <w:marLeft w:val="0"/>
      <w:marRight w:val="0"/>
      <w:marTop w:val="0"/>
      <w:marBottom w:val="0"/>
      <w:divBdr>
        <w:top w:val="none" w:sz="0" w:space="0" w:color="auto"/>
        <w:left w:val="none" w:sz="0" w:space="0" w:color="auto"/>
        <w:bottom w:val="none" w:sz="0" w:space="0" w:color="auto"/>
        <w:right w:val="none" w:sz="0" w:space="0" w:color="auto"/>
      </w:divBdr>
    </w:div>
    <w:div w:id="94182095">
      <w:bodyDiv w:val="1"/>
      <w:marLeft w:val="0"/>
      <w:marRight w:val="0"/>
      <w:marTop w:val="0"/>
      <w:marBottom w:val="0"/>
      <w:divBdr>
        <w:top w:val="none" w:sz="0" w:space="0" w:color="auto"/>
        <w:left w:val="none" w:sz="0" w:space="0" w:color="auto"/>
        <w:bottom w:val="none" w:sz="0" w:space="0" w:color="auto"/>
        <w:right w:val="none" w:sz="0" w:space="0" w:color="auto"/>
      </w:divBdr>
    </w:div>
    <w:div w:id="107430700">
      <w:bodyDiv w:val="1"/>
      <w:marLeft w:val="0"/>
      <w:marRight w:val="0"/>
      <w:marTop w:val="0"/>
      <w:marBottom w:val="0"/>
      <w:divBdr>
        <w:top w:val="none" w:sz="0" w:space="0" w:color="auto"/>
        <w:left w:val="none" w:sz="0" w:space="0" w:color="auto"/>
        <w:bottom w:val="none" w:sz="0" w:space="0" w:color="auto"/>
        <w:right w:val="none" w:sz="0" w:space="0" w:color="auto"/>
      </w:divBdr>
    </w:div>
    <w:div w:id="109009561">
      <w:bodyDiv w:val="1"/>
      <w:marLeft w:val="0"/>
      <w:marRight w:val="0"/>
      <w:marTop w:val="0"/>
      <w:marBottom w:val="0"/>
      <w:divBdr>
        <w:top w:val="none" w:sz="0" w:space="0" w:color="auto"/>
        <w:left w:val="none" w:sz="0" w:space="0" w:color="auto"/>
        <w:bottom w:val="none" w:sz="0" w:space="0" w:color="auto"/>
        <w:right w:val="none" w:sz="0" w:space="0" w:color="auto"/>
      </w:divBdr>
    </w:div>
    <w:div w:id="109278911">
      <w:bodyDiv w:val="1"/>
      <w:marLeft w:val="0"/>
      <w:marRight w:val="0"/>
      <w:marTop w:val="0"/>
      <w:marBottom w:val="0"/>
      <w:divBdr>
        <w:top w:val="none" w:sz="0" w:space="0" w:color="auto"/>
        <w:left w:val="none" w:sz="0" w:space="0" w:color="auto"/>
        <w:bottom w:val="none" w:sz="0" w:space="0" w:color="auto"/>
        <w:right w:val="none" w:sz="0" w:space="0" w:color="auto"/>
      </w:divBdr>
    </w:div>
    <w:div w:id="111482865">
      <w:bodyDiv w:val="1"/>
      <w:marLeft w:val="0"/>
      <w:marRight w:val="0"/>
      <w:marTop w:val="0"/>
      <w:marBottom w:val="0"/>
      <w:divBdr>
        <w:top w:val="none" w:sz="0" w:space="0" w:color="auto"/>
        <w:left w:val="none" w:sz="0" w:space="0" w:color="auto"/>
        <w:bottom w:val="none" w:sz="0" w:space="0" w:color="auto"/>
        <w:right w:val="none" w:sz="0" w:space="0" w:color="auto"/>
      </w:divBdr>
    </w:div>
    <w:div w:id="120734137">
      <w:bodyDiv w:val="1"/>
      <w:marLeft w:val="0"/>
      <w:marRight w:val="0"/>
      <w:marTop w:val="0"/>
      <w:marBottom w:val="0"/>
      <w:divBdr>
        <w:top w:val="none" w:sz="0" w:space="0" w:color="auto"/>
        <w:left w:val="none" w:sz="0" w:space="0" w:color="auto"/>
        <w:bottom w:val="none" w:sz="0" w:space="0" w:color="auto"/>
        <w:right w:val="none" w:sz="0" w:space="0" w:color="auto"/>
      </w:divBdr>
    </w:div>
    <w:div w:id="122500751">
      <w:bodyDiv w:val="1"/>
      <w:marLeft w:val="0"/>
      <w:marRight w:val="0"/>
      <w:marTop w:val="0"/>
      <w:marBottom w:val="0"/>
      <w:divBdr>
        <w:top w:val="none" w:sz="0" w:space="0" w:color="auto"/>
        <w:left w:val="none" w:sz="0" w:space="0" w:color="auto"/>
        <w:bottom w:val="none" w:sz="0" w:space="0" w:color="auto"/>
        <w:right w:val="none" w:sz="0" w:space="0" w:color="auto"/>
      </w:divBdr>
    </w:div>
    <w:div w:id="123086508">
      <w:bodyDiv w:val="1"/>
      <w:marLeft w:val="0"/>
      <w:marRight w:val="0"/>
      <w:marTop w:val="0"/>
      <w:marBottom w:val="0"/>
      <w:divBdr>
        <w:top w:val="none" w:sz="0" w:space="0" w:color="auto"/>
        <w:left w:val="none" w:sz="0" w:space="0" w:color="auto"/>
        <w:bottom w:val="none" w:sz="0" w:space="0" w:color="auto"/>
        <w:right w:val="none" w:sz="0" w:space="0" w:color="auto"/>
      </w:divBdr>
    </w:div>
    <w:div w:id="124662517">
      <w:bodyDiv w:val="1"/>
      <w:marLeft w:val="0"/>
      <w:marRight w:val="0"/>
      <w:marTop w:val="0"/>
      <w:marBottom w:val="0"/>
      <w:divBdr>
        <w:top w:val="none" w:sz="0" w:space="0" w:color="auto"/>
        <w:left w:val="none" w:sz="0" w:space="0" w:color="auto"/>
        <w:bottom w:val="none" w:sz="0" w:space="0" w:color="auto"/>
        <w:right w:val="none" w:sz="0" w:space="0" w:color="auto"/>
      </w:divBdr>
    </w:div>
    <w:div w:id="127431379">
      <w:bodyDiv w:val="1"/>
      <w:marLeft w:val="0"/>
      <w:marRight w:val="0"/>
      <w:marTop w:val="0"/>
      <w:marBottom w:val="0"/>
      <w:divBdr>
        <w:top w:val="none" w:sz="0" w:space="0" w:color="auto"/>
        <w:left w:val="none" w:sz="0" w:space="0" w:color="auto"/>
        <w:bottom w:val="none" w:sz="0" w:space="0" w:color="auto"/>
        <w:right w:val="none" w:sz="0" w:space="0" w:color="auto"/>
      </w:divBdr>
    </w:div>
    <w:div w:id="128518125">
      <w:bodyDiv w:val="1"/>
      <w:marLeft w:val="0"/>
      <w:marRight w:val="0"/>
      <w:marTop w:val="0"/>
      <w:marBottom w:val="0"/>
      <w:divBdr>
        <w:top w:val="none" w:sz="0" w:space="0" w:color="auto"/>
        <w:left w:val="none" w:sz="0" w:space="0" w:color="auto"/>
        <w:bottom w:val="none" w:sz="0" w:space="0" w:color="auto"/>
        <w:right w:val="none" w:sz="0" w:space="0" w:color="auto"/>
      </w:divBdr>
    </w:div>
    <w:div w:id="129444787">
      <w:bodyDiv w:val="1"/>
      <w:marLeft w:val="0"/>
      <w:marRight w:val="0"/>
      <w:marTop w:val="0"/>
      <w:marBottom w:val="0"/>
      <w:divBdr>
        <w:top w:val="none" w:sz="0" w:space="0" w:color="auto"/>
        <w:left w:val="none" w:sz="0" w:space="0" w:color="auto"/>
        <w:bottom w:val="none" w:sz="0" w:space="0" w:color="auto"/>
        <w:right w:val="none" w:sz="0" w:space="0" w:color="auto"/>
      </w:divBdr>
    </w:div>
    <w:div w:id="134026878">
      <w:bodyDiv w:val="1"/>
      <w:marLeft w:val="0"/>
      <w:marRight w:val="0"/>
      <w:marTop w:val="0"/>
      <w:marBottom w:val="0"/>
      <w:divBdr>
        <w:top w:val="none" w:sz="0" w:space="0" w:color="auto"/>
        <w:left w:val="none" w:sz="0" w:space="0" w:color="auto"/>
        <w:bottom w:val="none" w:sz="0" w:space="0" w:color="auto"/>
        <w:right w:val="none" w:sz="0" w:space="0" w:color="auto"/>
      </w:divBdr>
    </w:div>
    <w:div w:id="139813564">
      <w:bodyDiv w:val="1"/>
      <w:marLeft w:val="0"/>
      <w:marRight w:val="0"/>
      <w:marTop w:val="0"/>
      <w:marBottom w:val="0"/>
      <w:divBdr>
        <w:top w:val="none" w:sz="0" w:space="0" w:color="auto"/>
        <w:left w:val="none" w:sz="0" w:space="0" w:color="auto"/>
        <w:bottom w:val="none" w:sz="0" w:space="0" w:color="auto"/>
        <w:right w:val="none" w:sz="0" w:space="0" w:color="auto"/>
      </w:divBdr>
    </w:div>
    <w:div w:id="143280247">
      <w:bodyDiv w:val="1"/>
      <w:marLeft w:val="0"/>
      <w:marRight w:val="0"/>
      <w:marTop w:val="0"/>
      <w:marBottom w:val="0"/>
      <w:divBdr>
        <w:top w:val="none" w:sz="0" w:space="0" w:color="auto"/>
        <w:left w:val="none" w:sz="0" w:space="0" w:color="auto"/>
        <w:bottom w:val="none" w:sz="0" w:space="0" w:color="auto"/>
        <w:right w:val="none" w:sz="0" w:space="0" w:color="auto"/>
      </w:divBdr>
    </w:div>
    <w:div w:id="147399918">
      <w:bodyDiv w:val="1"/>
      <w:marLeft w:val="0"/>
      <w:marRight w:val="0"/>
      <w:marTop w:val="0"/>
      <w:marBottom w:val="0"/>
      <w:divBdr>
        <w:top w:val="none" w:sz="0" w:space="0" w:color="auto"/>
        <w:left w:val="none" w:sz="0" w:space="0" w:color="auto"/>
        <w:bottom w:val="none" w:sz="0" w:space="0" w:color="auto"/>
        <w:right w:val="none" w:sz="0" w:space="0" w:color="auto"/>
      </w:divBdr>
    </w:div>
    <w:div w:id="153644168">
      <w:bodyDiv w:val="1"/>
      <w:marLeft w:val="0"/>
      <w:marRight w:val="0"/>
      <w:marTop w:val="0"/>
      <w:marBottom w:val="0"/>
      <w:divBdr>
        <w:top w:val="none" w:sz="0" w:space="0" w:color="auto"/>
        <w:left w:val="none" w:sz="0" w:space="0" w:color="auto"/>
        <w:bottom w:val="none" w:sz="0" w:space="0" w:color="auto"/>
        <w:right w:val="none" w:sz="0" w:space="0" w:color="auto"/>
      </w:divBdr>
    </w:div>
    <w:div w:id="158275421">
      <w:bodyDiv w:val="1"/>
      <w:marLeft w:val="0"/>
      <w:marRight w:val="0"/>
      <w:marTop w:val="0"/>
      <w:marBottom w:val="0"/>
      <w:divBdr>
        <w:top w:val="none" w:sz="0" w:space="0" w:color="auto"/>
        <w:left w:val="none" w:sz="0" w:space="0" w:color="auto"/>
        <w:bottom w:val="none" w:sz="0" w:space="0" w:color="auto"/>
        <w:right w:val="none" w:sz="0" w:space="0" w:color="auto"/>
      </w:divBdr>
    </w:div>
    <w:div w:id="159197582">
      <w:bodyDiv w:val="1"/>
      <w:marLeft w:val="0"/>
      <w:marRight w:val="0"/>
      <w:marTop w:val="0"/>
      <w:marBottom w:val="0"/>
      <w:divBdr>
        <w:top w:val="none" w:sz="0" w:space="0" w:color="auto"/>
        <w:left w:val="none" w:sz="0" w:space="0" w:color="auto"/>
        <w:bottom w:val="none" w:sz="0" w:space="0" w:color="auto"/>
        <w:right w:val="none" w:sz="0" w:space="0" w:color="auto"/>
      </w:divBdr>
    </w:div>
    <w:div w:id="161629823">
      <w:bodyDiv w:val="1"/>
      <w:marLeft w:val="0"/>
      <w:marRight w:val="0"/>
      <w:marTop w:val="0"/>
      <w:marBottom w:val="0"/>
      <w:divBdr>
        <w:top w:val="none" w:sz="0" w:space="0" w:color="auto"/>
        <w:left w:val="none" w:sz="0" w:space="0" w:color="auto"/>
        <w:bottom w:val="none" w:sz="0" w:space="0" w:color="auto"/>
        <w:right w:val="none" w:sz="0" w:space="0" w:color="auto"/>
      </w:divBdr>
    </w:div>
    <w:div w:id="163741233">
      <w:bodyDiv w:val="1"/>
      <w:marLeft w:val="0"/>
      <w:marRight w:val="0"/>
      <w:marTop w:val="0"/>
      <w:marBottom w:val="0"/>
      <w:divBdr>
        <w:top w:val="none" w:sz="0" w:space="0" w:color="auto"/>
        <w:left w:val="none" w:sz="0" w:space="0" w:color="auto"/>
        <w:bottom w:val="none" w:sz="0" w:space="0" w:color="auto"/>
        <w:right w:val="none" w:sz="0" w:space="0" w:color="auto"/>
      </w:divBdr>
    </w:div>
    <w:div w:id="165487401">
      <w:bodyDiv w:val="1"/>
      <w:marLeft w:val="0"/>
      <w:marRight w:val="0"/>
      <w:marTop w:val="0"/>
      <w:marBottom w:val="0"/>
      <w:divBdr>
        <w:top w:val="none" w:sz="0" w:space="0" w:color="auto"/>
        <w:left w:val="none" w:sz="0" w:space="0" w:color="auto"/>
        <w:bottom w:val="none" w:sz="0" w:space="0" w:color="auto"/>
        <w:right w:val="none" w:sz="0" w:space="0" w:color="auto"/>
      </w:divBdr>
    </w:div>
    <w:div w:id="171646852">
      <w:bodyDiv w:val="1"/>
      <w:marLeft w:val="0"/>
      <w:marRight w:val="0"/>
      <w:marTop w:val="0"/>
      <w:marBottom w:val="0"/>
      <w:divBdr>
        <w:top w:val="none" w:sz="0" w:space="0" w:color="auto"/>
        <w:left w:val="none" w:sz="0" w:space="0" w:color="auto"/>
        <w:bottom w:val="none" w:sz="0" w:space="0" w:color="auto"/>
        <w:right w:val="none" w:sz="0" w:space="0" w:color="auto"/>
      </w:divBdr>
    </w:div>
    <w:div w:id="173613351">
      <w:bodyDiv w:val="1"/>
      <w:marLeft w:val="0"/>
      <w:marRight w:val="0"/>
      <w:marTop w:val="0"/>
      <w:marBottom w:val="0"/>
      <w:divBdr>
        <w:top w:val="none" w:sz="0" w:space="0" w:color="auto"/>
        <w:left w:val="none" w:sz="0" w:space="0" w:color="auto"/>
        <w:bottom w:val="none" w:sz="0" w:space="0" w:color="auto"/>
        <w:right w:val="none" w:sz="0" w:space="0" w:color="auto"/>
      </w:divBdr>
    </w:div>
    <w:div w:id="175075560">
      <w:bodyDiv w:val="1"/>
      <w:marLeft w:val="0"/>
      <w:marRight w:val="0"/>
      <w:marTop w:val="0"/>
      <w:marBottom w:val="0"/>
      <w:divBdr>
        <w:top w:val="none" w:sz="0" w:space="0" w:color="auto"/>
        <w:left w:val="none" w:sz="0" w:space="0" w:color="auto"/>
        <w:bottom w:val="none" w:sz="0" w:space="0" w:color="auto"/>
        <w:right w:val="none" w:sz="0" w:space="0" w:color="auto"/>
      </w:divBdr>
    </w:div>
    <w:div w:id="176652042">
      <w:bodyDiv w:val="1"/>
      <w:marLeft w:val="0"/>
      <w:marRight w:val="0"/>
      <w:marTop w:val="0"/>
      <w:marBottom w:val="0"/>
      <w:divBdr>
        <w:top w:val="none" w:sz="0" w:space="0" w:color="auto"/>
        <w:left w:val="none" w:sz="0" w:space="0" w:color="auto"/>
        <w:bottom w:val="none" w:sz="0" w:space="0" w:color="auto"/>
        <w:right w:val="none" w:sz="0" w:space="0" w:color="auto"/>
      </w:divBdr>
    </w:div>
    <w:div w:id="194580740">
      <w:bodyDiv w:val="1"/>
      <w:marLeft w:val="0"/>
      <w:marRight w:val="0"/>
      <w:marTop w:val="0"/>
      <w:marBottom w:val="0"/>
      <w:divBdr>
        <w:top w:val="none" w:sz="0" w:space="0" w:color="auto"/>
        <w:left w:val="none" w:sz="0" w:space="0" w:color="auto"/>
        <w:bottom w:val="none" w:sz="0" w:space="0" w:color="auto"/>
        <w:right w:val="none" w:sz="0" w:space="0" w:color="auto"/>
      </w:divBdr>
    </w:div>
    <w:div w:id="196702925">
      <w:bodyDiv w:val="1"/>
      <w:marLeft w:val="0"/>
      <w:marRight w:val="0"/>
      <w:marTop w:val="0"/>
      <w:marBottom w:val="0"/>
      <w:divBdr>
        <w:top w:val="none" w:sz="0" w:space="0" w:color="auto"/>
        <w:left w:val="none" w:sz="0" w:space="0" w:color="auto"/>
        <w:bottom w:val="none" w:sz="0" w:space="0" w:color="auto"/>
        <w:right w:val="none" w:sz="0" w:space="0" w:color="auto"/>
      </w:divBdr>
    </w:div>
    <w:div w:id="197399073">
      <w:bodyDiv w:val="1"/>
      <w:marLeft w:val="0"/>
      <w:marRight w:val="0"/>
      <w:marTop w:val="0"/>
      <w:marBottom w:val="0"/>
      <w:divBdr>
        <w:top w:val="none" w:sz="0" w:space="0" w:color="auto"/>
        <w:left w:val="none" w:sz="0" w:space="0" w:color="auto"/>
        <w:bottom w:val="none" w:sz="0" w:space="0" w:color="auto"/>
        <w:right w:val="none" w:sz="0" w:space="0" w:color="auto"/>
      </w:divBdr>
    </w:div>
    <w:div w:id="198008834">
      <w:bodyDiv w:val="1"/>
      <w:marLeft w:val="0"/>
      <w:marRight w:val="0"/>
      <w:marTop w:val="0"/>
      <w:marBottom w:val="0"/>
      <w:divBdr>
        <w:top w:val="none" w:sz="0" w:space="0" w:color="auto"/>
        <w:left w:val="none" w:sz="0" w:space="0" w:color="auto"/>
        <w:bottom w:val="none" w:sz="0" w:space="0" w:color="auto"/>
        <w:right w:val="none" w:sz="0" w:space="0" w:color="auto"/>
      </w:divBdr>
    </w:div>
    <w:div w:id="200016400">
      <w:bodyDiv w:val="1"/>
      <w:marLeft w:val="0"/>
      <w:marRight w:val="0"/>
      <w:marTop w:val="0"/>
      <w:marBottom w:val="0"/>
      <w:divBdr>
        <w:top w:val="none" w:sz="0" w:space="0" w:color="auto"/>
        <w:left w:val="none" w:sz="0" w:space="0" w:color="auto"/>
        <w:bottom w:val="none" w:sz="0" w:space="0" w:color="auto"/>
        <w:right w:val="none" w:sz="0" w:space="0" w:color="auto"/>
      </w:divBdr>
    </w:div>
    <w:div w:id="202402981">
      <w:bodyDiv w:val="1"/>
      <w:marLeft w:val="0"/>
      <w:marRight w:val="0"/>
      <w:marTop w:val="0"/>
      <w:marBottom w:val="0"/>
      <w:divBdr>
        <w:top w:val="none" w:sz="0" w:space="0" w:color="auto"/>
        <w:left w:val="none" w:sz="0" w:space="0" w:color="auto"/>
        <w:bottom w:val="none" w:sz="0" w:space="0" w:color="auto"/>
        <w:right w:val="none" w:sz="0" w:space="0" w:color="auto"/>
      </w:divBdr>
    </w:div>
    <w:div w:id="209616825">
      <w:bodyDiv w:val="1"/>
      <w:marLeft w:val="0"/>
      <w:marRight w:val="0"/>
      <w:marTop w:val="0"/>
      <w:marBottom w:val="0"/>
      <w:divBdr>
        <w:top w:val="none" w:sz="0" w:space="0" w:color="auto"/>
        <w:left w:val="none" w:sz="0" w:space="0" w:color="auto"/>
        <w:bottom w:val="none" w:sz="0" w:space="0" w:color="auto"/>
        <w:right w:val="none" w:sz="0" w:space="0" w:color="auto"/>
      </w:divBdr>
    </w:div>
    <w:div w:id="214128278">
      <w:bodyDiv w:val="1"/>
      <w:marLeft w:val="0"/>
      <w:marRight w:val="0"/>
      <w:marTop w:val="0"/>
      <w:marBottom w:val="0"/>
      <w:divBdr>
        <w:top w:val="none" w:sz="0" w:space="0" w:color="auto"/>
        <w:left w:val="none" w:sz="0" w:space="0" w:color="auto"/>
        <w:bottom w:val="none" w:sz="0" w:space="0" w:color="auto"/>
        <w:right w:val="none" w:sz="0" w:space="0" w:color="auto"/>
      </w:divBdr>
    </w:div>
    <w:div w:id="215625726">
      <w:bodyDiv w:val="1"/>
      <w:marLeft w:val="0"/>
      <w:marRight w:val="0"/>
      <w:marTop w:val="0"/>
      <w:marBottom w:val="0"/>
      <w:divBdr>
        <w:top w:val="none" w:sz="0" w:space="0" w:color="auto"/>
        <w:left w:val="none" w:sz="0" w:space="0" w:color="auto"/>
        <w:bottom w:val="none" w:sz="0" w:space="0" w:color="auto"/>
        <w:right w:val="none" w:sz="0" w:space="0" w:color="auto"/>
      </w:divBdr>
    </w:div>
    <w:div w:id="221672882">
      <w:bodyDiv w:val="1"/>
      <w:marLeft w:val="0"/>
      <w:marRight w:val="0"/>
      <w:marTop w:val="0"/>
      <w:marBottom w:val="0"/>
      <w:divBdr>
        <w:top w:val="none" w:sz="0" w:space="0" w:color="auto"/>
        <w:left w:val="none" w:sz="0" w:space="0" w:color="auto"/>
        <w:bottom w:val="none" w:sz="0" w:space="0" w:color="auto"/>
        <w:right w:val="none" w:sz="0" w:space="0" w:color="auto"/>
      </w:divBdr>
    </w:div>
    <w:div w:id="226918189">
      <w:bodyDiv w:val="1"/>
      <w:marLeft w:val="0"/>
      <w:marRight w:val="0"/>
      <w:marTop w:val="0"/>
      <w:marBottom w:val="0"/>
      <w:divBdr>
        <w:top w:val="none" w:sz="0" w:space="0" w:color="auto"/>
        <w:left w:val="none" w:sz="0" w:space="0" w:color="auto"/>
        <w:bottom w:val="none" w:sz="0" w:space="0" w:color="auto"/>
        <w:right w:val="none" w:sz="0" w:space="0" w:color="auto"/>
      </w:divBdr>
    </w:div>
    <w:div w:id="227494045">
      <w:bodyDiv w:val="1"/>
      <w:marLeft w:val="0"/>
      <w:marRight w:val="0"/>
      <w:marTop w:val="0"/>
      <w:marBottom w:val="0"/>
      <w:divBdr>
        <w:top w:val="none" w:sz="0" w:space="0" w:color="auto"/>
        <w:left w:val="none" w:sz="0" w:space="0" w:color="auto"/>
        <w:bottom w:val="none" w:sz="0" w:space="0" w:color="auto"/>
        <w:right w:val="none" w:sz="0" w:space="0" w:color="auto"/>
      </w:divBdr>
    </w:div>
    <w:div w:id="237634625">
      <w:bodyDiv w:val="1"/>
      <w:marLeft w:val="0"/>
      <w:marRight w:val="0"/>
      <w:marTop w:val="0"/>
      <w:marBottom w:val="0"/>
      <w:divBdr>
        <w:top w:val="none" w:sz="0" w:space="0" w:color="auto"/>
        <w:left w:val="none" w:sz="0" w:space="0" w:color="auto"/>
        <w:bottom w:val="none" w:sz="0" w:space="0" w:color="auto"/>
        <w:right w:val="none" w:sz="0" w:space="0" w:color="auto"/>
      </w:divBdr>
    </w:div>
    <w:div w:id="240023792">
      <w:bodyDiv w:val="1"/>
      <w:marLeft w:val="0"/>
      <w:marRight w:val="0"/>
      <w:marTop w:val="0"/>
      <w:marBottom w:val="0"/>
      <w:divBdr>
        <w:top w:val="none" w:sz="0" w:space="0" w:color="auto"/>
        <w:left w:val="none" w:sz="0" w:space="0" w:color="auto"/>
        <w:bottom w:val="none" w:sz="0" w:space="0" w:color="auto"/>
        <w:right w:val="none" w:sz="0" w:space="0" w:color="auto"/>
      </w:divBdr>
    </w:div>
    <w:div w:id="241335453">
      <w:bodyDiv w:val="1"/>
      <w:marLeft w:val="0"/>
      <w:marRight w:val="0"/>
      <w:marTop w:val="0"/>
      <w:marBottom w:val="0"/>
      <w:divBdr>
        <w:top w:val="none" w:sz="0" w:space="0" w:color="auto"/>
        <w:left w:val="none" w:sz="0" w:space="0" w:color="auto"/>
        <w:bottom w:val="none" w:sz="0" w:space="0" w:color="auto"/>
        <w:right w:val="none" w:sz="0" w:space="0" w:color="auto"/>
      </w:divBdr>
    </w:div>
    <w:div w:id="242301468">
      <w:bodyDiv w:val="1"/>
      <w:marLeft w:val="0"/>
      <w:marRight w:val="0"/>
      <w:marTop w:val="0"/>
      <w:marBottom w:val="0"/>
      <w:divBdr>
        <w:top w:val="none" w:sz="0" w:space="0" w:color="auto"/>
        <w:left w:val="none" w:sz="0" w:space="0" w:color="auto"/>
        <w:bottom w:val="none" w:sz="0" w:space="0" w:color="auto"/>
        <w:right w:val="none" w:sz="0" w:space="0" w:color="auto"/>
      </w:divBdr>
    </w:div>
    <w:div w:id="243302197">
      <w:bodyDiv w:val="1"/>
      <w:marLeft w:val="0"/>
      <w:marRight w:val="0"/>
      <w:marTop w:val="0"/>
      <w:marBottom w:val="0"/>
      <w:divBdr>
        <w:top w:val="none" w:sz="0" w:space="0" w:color="auto"/>
        <w:left w:val="none" w:sz="0" w:space="0" w:color="auto"/>
        <w:bottom w:val="none" w:sz="0" w:space="0" w:color="auto"/>
        <w:right w:val="none" w:sz="0" w:space="0" w:color="auto"/>
      </w:divBdr>
    </w:div>
    <w:div w:id="246891252">
      <w:bodyDiv w:val="1"/>
      <w:marLeft w:val="0"/>
      <w:marRight w:val="0"/>
      <w:marTop w:val="0"/>
      <w:marBottom w:val="0"/>
      <w:divBdr>
        <w:top w:val="none" w:sz="0" w:space="0" w:color="auto"/>
        <w:left w:val="none" w:sz="0" w:space="0" w:color="auto"/>
        <w:bottom w:val="none" w:sz="0" w:space="0" w:color="auto"/>
        <w:right w:val="none" w:sz="0" w:space="0" w:color="auto"/>
      </w:divBdr>
    </w:div>
    <w:div w:id="253518898">
      <w:bodyDiv w:val="1"/>
      <w:marLeft w:val="0"/>
      <w:marRight w:val="0"/>
      <w:marTop w:val="0"/>
      <w:marBottom w:val="0"/>
      <w:divBdr>
        <w:top w:val="none" w:sz="0" w:space="0" w:color="auto"/>
        <w:left w:val="none" w:sz="0" w:space="0" w:color="auto"/>
        <w:bottom w:val="none" w:sz="0" w:space="0" w:color="auto"/>
        <w:right w:val="none" w:sz="0" w:space="0" w:color="auto"/>
      </w:divBdr>
    </w:div>
    <w:div w:id="255791938">
      <w:bodyDiv w:val="1"/>
      <w:marLeft w:val="0"/>
      <w:marRight w:val="0"/>
      <w:marTop w:val="0"/>
      <w:marBottom w:val="0"/>
      <w:divBdr>
        <w:top w:val="none" w:sz="0" w:space="0" w:color="auto"/>
        <w:left w:val="none" w:sz="0" w:space="0" w:color="auto"/>
        <w:bottom w:val="none" w:sz="0" w:space="0" w:color="auto"/>
        <w:right w:val="none" w:sz="0" w:space="0" w:color="auto"/>
      </w:divBdr>
    </w:div>
    <w:div w:id="258560743">
      <w:bodyDiv w:val="1"/>
      <w:marLeft w:val="0"/>
      <w:marRight w:val="0"/>
      <w:marTop w:val="0"/>
      <w:marBottom w:val="0"/>
      <w:divBdr>
        <w:top w:val="none" w:sz="0" w:space="0" w:color="auto"/>
        <w:left w:val="none" w:sz="0" w:space="0" w:color="auto"/>
        <w:bottom w:val="none" w:sz="0" w:space="0" w:color="auto"/>
        <w:right w:val="none" w:sz="0" w:space="0" w:color="auto"/>
      </w:divBdr>
    </w:div>
    <w:div w:id="259917453">
      <w:bodyDiv w:val="1"/>
      <w:marLeft w:val="0"/>
      <w:marRight w:val="0"/>
      <w:marTop w:val="0"/>
      <w:marBottom w:val="0"/>
      <w:divBdr>
        <w:top w:val="none" w:sz="0" w:space="0" w:color="auto"/>
        <w:left w:val="none" w:sz="0" w:space="0" w:color="auto"/>
        <w:bottom w:val="none" w:sz="0" w:space="0" w:color="auto"/>
        <w:right w:val="none" w:sz="0" w:space="0" w:color="auto"/>
      </w:divBdr>
    </w:div>
    <w:div w:id="264581423">
      <w:bodyDiv w:val="1"/>
      <w:marLeft w:val="0"/>
      <w:marRight w:val="0"/>
      <w:marTop w:val="0"/>
      <w:marBottom w:val="0"/>
      <w:divBdr>
        <w:top w:val="none" w:sz="0" w:space="0" w:color="auto"/>
        <w:left w:val="none" w:sz="0" w:space="0" w:color="auto"/>
        <w:bottom w:val="none" w:sz="0" w:space="0" w:color="auto"/>
        <w:right w:val="none" w:sz="0" w:space="0" w:color="auto"/>
      </w:divBdr>
    </w:div>
    <w:div w:id="269364383">
      <w:bodyDiv w:val="1"/>
      <w:marLeft w:val="0"/>
      <w:marRight w:val="0"/>
      <w:marTop w:val="0"/>
      <w:marBottom w:val="0"/>
      <w:divBdr>
        <w:top w:val="none" w:sz="0" w:space="0" w:color="auto"/>
        <w:left w:val="none" w:sz="0" w:space="0" w:color="auto"/>
        <w:bottom w:val="none" w:sz="0" w:space="0" w:color="auto"/>
        <w:right w:val="none" w:sz="0" w:space="0" w:color="auto"/>
      </w:divBdr>
    </w:div>
    <w:div w:id="272590844">
      <w:bodyDiv w:val="1"/>
      <w:marLeft w:val="0"/>
      <w:marRight w:val="0"/>
      <w:marTop w:val="0"/>
      <w:marBottom w:val="0"/>
      <w:divBdr>
        <w:top w:val="none" w:sz="0" w:space="0" w:color="auto"/>
        <w:left w:val="none" w:sz="0" w:space="0" w:color="auto"/>
        <w:bottom w:val="none" w:sz="0" w:space="0" w:color="auto"/>
        <w:right w:val="none" w:sz="0" w:space="0" w:color="auto"/>
      </w:divBdr>
    </w:div>
    <w:div w:id="276370439">
      <w:bodyDiv w:val="1"/>
      <w:marLeft w:val="0"/>
      <w:marRight w:val="0"/>
      <w:marTop w:val="0"/>
      <w:marBottom w:val="0"/>
      <w:divBdr>
        <w:top w:val="none" w:sz="0" w:space="0" w:color="auto"/>
        <w:left w:val="none" w:sz="0" w:space="0" w:color="auto"/>
        <w:bottom w:val="none" w:sz="0" w:space="0" w:color="auto"/>
        <w:right w:val="none" w:sz="0" w:space="0" w:color="auto"/>
      </w:divBdr>
    </w:div>
    <w:div w:id="279066465">
      <w:bodyDiv w:val="1"/>
      <w:marLeft w:val="0"/>
      <w:marRight w:val="0"/>
      <w:marTop w:val="0"/>
      <w:marBottom w:val="0"/>
      <w:divBdr>
        <w:top w:val="none" w:sz="0" w:space="0" w:color="auto"/>
        <w:left w:val="none" w:sz="0" w:space="0" w:color="auto"/>
        <w:bottom w:val="none" w:sz="0" w:space="0" w:color="auto"/>
        <w:right w:val="none" w:sz="0" w:space="0" w:color="auto"/>
      </w:divBdr>
    </w:div>
    <w:div w:id="280187775">
      <w:bodyDiv w:val="1"/>
      <w:marLeft w:val="0"/>
      <w:marRight w:val="0"/>
      <w:marTop w:val="0"/>
      <w:marBottom w:val="0"/>
      <w:divBdr>
        <w:top w:val="none" w:sz="0" w:space="0" w:color="auto"/>
        <w:left w:val="none" w:sz="0" w:space="0" w:color="auto"/>
        <w:bottom w:val="none" w:sz="0" w:space="0" w:color="auto"/>
        <w:right w:val="none" w:sz="0" w:space="0" w:color="auto"/>
      </w:divBdr>
    </w:div>
    <w:div w:id="282656828">
      <w:bodyDiv w:val="1"/>
      <w:marLeft w:val="0"/>
      <w:marRight w:val="0"/>
      <w:marTop w:val="0"/>
      <w:marBottom w:val="0"/>
      <w:divBdr>
        <w:top w:val="none" w:sz="0" w:space="0" w:color="auto"/>
        <w:left w:val="none" w:sz="0" w:space="0" w:color="auto"/>
        <w:bottom w:val="none" w:sz="0" w:space="0" w:color="auto"/>
        <w:right w:val="none" w:sz="0" w:space="0" w:color="auto"/>
      </w:divBdr>
    </w:div>
    <w:div w:id="283000182">
      <w:bodyDiv w:val="1"/>
      <w:marLeft w:val="0"/>
      <w:marRight w:val="0"/>
      <w:marTop w:val="0"/>
      <w:marBottom w:val="0"/>
      <w:divBdr>
        <w:top w:val="none" w:sz="0" w:space="0" w:color="auto"/>
        <w:left w:val="none" w:sz="0" w:space="0" w:color="auto"/>
        <w:bottom w:val="none" w:sz="0" w:space="0" w:color="auto"/>
        <w:right w:val="none" w:sz="0" w:space="0" w:color="auto"/>
      </w:divBdr>
    </w:div>
    <w:div w:id="288778935">
      <w:bodyDiv w:val="1"/>
      <w:marLeft w:val="0"/>
      <w:marRight w:val="0"/>
      <w:marTop w:val="0"/>
      <w:marBottom w:val="0"/>
      <w:divBdr>
        <w:top w:val="none" w:sz="0" w:space="0" w:color="auto"/>
        <w:left w:val="none" w:sz="0" w:space="0" w:color="auto"/>
        <w:bottom w:val="none" w:sz="0" w:space="0" w:color="auto"/>
        <w:right w:val="none" w:sz="0" w:space="0" w:color="auto"/>
      </w:divBdr>
    </w:div>
    <w:div w:id="293412121">
      <w:bodyDiv w:val="1"/>
      <w:marLeft w:val="0"/>
      <w:marRight w:val="0"/>
      <w:marTop w:val="0"/>
      <w:marBottom w:val="0"/>
      <w:divBdr>
        <w:top w:val="none" w:sz="0" w:space="0" w:color="auto"/>
        <w:left w:val="none" w:sz="0" w:space="0" w:color="auto"/>
        <w:bottom w:val="none" w:sz="0" w:space="0" w:color="auto"/>
        <w:right w:val="none" w:sz="0" w:space="0" w:color="auto"/>
      </w:divBdr>
    </w:div>
    <w:div w:id="296878233">
      <w:bodyDiv w:val="1"/>
      <w:marLeft w:val="0"/>
      <w:marRight w:val="0"/>
      <w:marTop w:val="0"/>
      <w:marBottom w:val="0"/>
      <w:divBdr>
        <w:top w:val="none" w:sz="0" w:space="0" w:color="auto"/>
        <w:left w:val="none" w:sz="0" w:space="0" w:color="auto"/>
        <w:bottom w:val="none" w:sz="0" w:space="0" w:color="auto"/>
        <w:right w:val="none" w:sz="0" w:space="0" w:color="auto"/>
      </w:divBdr>
    </w:div>
    <w:div w:id="303118505">
      <w:bodyDiv w:val="1"/>
      <w:marLeft w:val="0"/>
      <w:marRight w:val="0"/>
      <w:marTop w:val="0"/>
      <w:marBottom w:val="0"/>
      <w:divBdr>
        <w:top w:val="none" w:sz="0" w:space="0" w:color="auto"/>
        <w:left w:val="none" w:sz="0" w:space="0" w:color="auto"/>
        <w:bottom w:val="none" w:sz="0" w:space="0" w:color="auto"/>
        <w:right w:val="none" w:sz="0" w:space="0" w:color="auto"/>
      </w:divBdr>
    </w:div>
    <w:div w:id="303389730">
      <w:bodyDiv w:val="1"/>
      <w:marLeft w:val="0"/>
      <w:marRight w:val="0"/>
      <w:marTop w:val="0"/>
      <w:marBottom w:val="0"/>
      <w:divBdr>
        <w:top w:val="none" w:sz="0" w:space="0" w:color="auto"/>
        <w:left w:val="none" w:sz="0" w:space="0" w:color="auto"/>
        <w:bottom w:val="none" w:sz="0" w:space="0" w:color="auto"/>
        <w:right w:val="none" w:sz="0" w:space="0" w:color="auto"/>
      </w:divBdr>
    </w:div>
    <w:div w:id="304286591">
      <w:bodyDiv w:val="1"/>
      <w:marLeft w:val="0"/>
      <w:marRight w:val="0"/>
      <w:marTop w:val="0"/>
      <w:marBottom w:val="0"/>
      <w:divBdr>
        <w:top w:val="none" w:sz="0" w:space="0" w:color="auto"/>
        <w:left w:val="none" w:sz="0" w:space="0" w:color="auto"/>
        <w:bottom w:val="none" w:sz="0" w:space="0" w:color="auto"/>
        <w:right w:val="none" w:sz="0" w:space="0" w:color="auto"/>
      </w:divBdr>
    </w:div>
    <w:div w:id="319886903">
      <w:bodyDiv w:val="1"/>
      <w:marLeft w:val="0"/>
      <w:marRight w:val="0"/>
      <w:marTop w:val="0"/>
      <w:marBottom w:val="0"/>
      <w:divBdr>
        <w:top w:val="none" w:sz="0" w:space="0" w:color="auto"/>
        <w:left w:val="none" w:sz="0" w:space="0" w:color="auto"/>
        <w:bottom w:val="none" w:sz="0" w:space="0" w:color="auto"/>
        <w:right w:val="none" w:sz="0" w:space="0" w:color="auto"/>
      </w:divBdr>
    </w:div>
    <w:div w:id="322009814">
      <w:bodyDiv w:val="1"/>
      <w:marLeft w:val="0"/>
      <w:marRight w:val="0"/>
      <w:marTop w:val="0"/>
      <w:marBottom w:val="0"/>
      <w:divBdr>
        <w:top w:val="none" w:sz="0" w:space="0" w:color="auto"/>
        <w:left w:val="none" w:sz="0" w:space="0" w:color="auto"/>
        <w:bottom w:val="none" w:sz="0" w:space="0" w:color="auto"/>
        <w:right w:val="none" w:sz="0" w:space="0" w:color="auto"/>
      </w:divBdr>
    </w:div>
    <w:div w:id="328598951">
      <w:bodyDiv w:val="1"/>
      <w:marLeft w:val="0"/>
      <w:marRight w:val="0"/>
      <w:marTop w:val="0"/>
      <w:marBottom w:val="0"/>
      <w:divBdr>
        <w:top w:val="none" w:sz="0" w:space="0" w:color="auto"/>
        <w:left w:val="none" w:sz="0" w:space="0" w:color="auto"/>
        <w:bottom w:val="none" w:sz="0" w:space="0" w:color="auto"/>
        <w:right w:val="none" w:sz="0" w:space="0" w:color="auto"/>
      </w:divBdr>
    </w:div>
    <w:div w:id="329215684">
      <w:bodyDiv w:val="1"/>
      <w:marLeft w:val="0"/>
      <w:marRight w:val="0"/>
      <w:marTop w:val="0"/>
      <w:marBottom w:val="0"/>
      <w:divBdr>
        <w:top w:val="none" w:sz="0" w:space="0" w:color="auto"/>
        <w:left w:val="none" w:sz="0" w:space="0" w:color="auto"/>
        <w:bottom w:val="none" w:sz="0" w:space="0" w:color="auto"/>
        <w:right w:val="none" w:sz="0" w:space="0" w:color="auto"/>
      </w:divBdr>
    </w:div>
    <w:div w:id="329337900">
      <w:bodyDiv w:val="1"/>
      <w:marLeft w:val="0"/>
      <w:marRight w:val="0"/>
      <w:marTop w:val="0"/>
      <w:marBottom w:val="0"/>
      <w:divBdr>
        <w:top w:val="none" w:sz="0" w:space="0" w:color="auto"/>
        <w:left w:val="none" w:sz="0" w:space="0" w:color="auto"/>
        <w:bottom w:val="none" w:sz="0" w:space="0" w:color="auto"/>
        <w:right w:val="none" w:sz="0" w:space="0" w:color="auto"/>
      </w:divBdr>
    </w:div>
    <w:div w:id="329985679">
      <w:bodyDiv w:val="1"/>
      <w:marLeft w:val="0"/>
      <w:marRight w:val="0"/>
      <w:marTop w:val="0"/>
      <w:marBottom w:val="0"/>
      <w:divBdr>
        <w:top w:val="none" w:sz="0" w:space="0" w:color="auto"/>
        <w:left w:val="none" w:sz="0" w:space="0" w:color="auto"/>
        <w:bottom w:val="none" w:sz="0" w:space="0" w:color="auto"/>
        <w:right w:val="none" w:sz="0" w:space="0" w:color="auto"/>
      </w:divBdr>
    </w:div>
    <w:div w:id="333343572">
      <w:bodyDiv w:val="1"/>
      <w:marLeft w:val="0"/>
      <w:marRight w:val="0"/>
      <w:marTop w:val="0"/>
      <w:marBottom w:val="0"/>
      <w:divBdr>
        <w:top w:val="none" w:sz="0" w:space="0" w:color="auto"/>
        <w:left w:val="none" w:sz="0" w:space="0" w:color="auto"/>
        <w:bottom w:val="none" w:sz="0" w:space="0" w:color="auto"/>
        <w:right w:val="none" w:sz="0" w:space="0" w:color="auto"/>
      </w:divBdr>
    </w:div>
    <w:div w:id="347946755">
      <w:bodyDiv w:val="1"/>
      <w:marLeft w:val="0"/>
      <w:marRight w:val="0"/>
      <w:marTop w:val="0"/>
      <w:marBottom w:val="0"/>
      <w:divBdr>
        <w:top w:val="none" w:sz="0" w:space="0" w:color="auto"/>
        <w:left w:val="none" w:sz="0" w:space="0" w:color="auto"/>
        <w:bottom w:val="none" w:sz="0" w:space="0" w:color="auto"/>
        <w:right w:val="none" w:sz="0" w:space="0" w:color="auto"/>
      </w:divBdr>
    </w:div>
    <w:div w:id="352615259">
      <w:bodyDiv w:val="1"/>
      <w:marLeft w:val="0"/>
      <w:marRight w:val="0"/>
      <w:marTop w:val="0"/>
      <w:marBottom w:val="0"/>
      <w:divBdr>
        <w:top w:val="none" w:sz="0" w:space="0" w:color="auto"/>
        <w:left w:val="none" w:sz="0" w:space="0" w:color="auto"/>
        <w:bottom w:val="none" w:sz="0" w:space="0" w:color="auto"/>
        <w:right w:val="none" w:sz="0" w:space="0" w:color="auto"/>
      </w:divBdr>
    </w:div>
    <w:div w:id="355544944">
      <w:bodyDiv w:val="1"/>
      <w:marLeft w:val="0"/>
      <w:marRight w:val="0"/>
      <w:marTop w:val="0"/>
      <w:marBottom w:val="0"/>
      <w:divBdr>
        <w:top w:val="none" w:sz="0" w:space="0" w:color="auto"/>
        <w:left w:val="none" w:sz="0" w:space="0" w:color="auto"/>
        <w:bottom w:val="none" w:sz="0" w:space="0" w:color="auto"/>
        <w:right w:val="none" w:sz="0" w:space="0" w:color="auto"/>
      </w:divBdr>
    </w:div>
    <w:div w:id="359011658">
      <w:bodyDiv w:val="1"/>
      <w:marLeft w:val="0"/>
      <w:marRight w:val="0"/>
      <w:marTop w:val="0"/>
      <w:marBottom w:val="0"/>
      <w:divBdr>
        <w:top w:val="none" w:sz="0" w:space="0" w:color="auto"/>
        <w:left w:val="none" w:sz="0" w:space="0" w:color="auto"/>
        <w:bottom w:val="none" w:sz="0" w:space="0" w:color="auto"/>
        <w:right w:val="none" w:sz="0" w:space="0" w:color="auto"/>
      </w:divBdr>
    </w:div>
    <w:div w:id="363676349">
      <w:bodyDiv w:val="1"/>
      <w:marLeft w:val="0"/>
      <w:marRight w:val="0"/>
      <w:marTop w:val="0"/>
      <w:marBottom w:val="0"/>
      <w:divBdr>
        <w:top w:val="none" w:sz="0" w:space="0" w:color="auto"/>
        <w:left w:val="none" w:sz="0" w:space="0" w:color="auto"/>
        <w:bottom w:val="none" w:sz="0" w:space="0" w:color="auto"/>
        <w:right w:val="none" w:sz="0" w:space="0" w:color="auto"/>
      </w:divBdr>
    </w:div>
    <w:div w:id="364255519">
      <w:bodyDiv w:val="1"/>
      <w:marLeft w:val="0"/>
      <w:marRight w:val="0"/>
      <w:marTop w:val="0"/>
      <w:marBottom w:val="0"/>
      <w:divBdr>
        <w:top w:val="none" w:sz="0" w:space="0" w:color="auto"/>
        <w:left w:val="none" w:sz="0" w:space="0" w:color="auto"/>
        <w:bottom w:val="none" w:sz="0" w:space="0" w:color="auto"/>
        <w:right w:val="none" w:sz="0" w:space="0" w:color="auto"/>
      </w:divBdr>
    </w:div>
    <w:div w:id="366177647">
      <w:bodyDiv w:val="1"/>
      <w:marLeft w:val="0"/>
      <w:marRight w:val="0"/>
      <w:marTop w:val="0"/>
      <w:marBottom w:val="0"/>
      <w:divBdr>
        <w:top w:val="none" w:sz="0" w:space="0" w:color="auto"/>
        <w:left w:val="none" w:sz="0" w:space="0" w:color="auto"/>
        <w:bottom w:val="none" w:sz="0" w:space="0" w:color="auto"/>
        <w:right w:val="none" w:sz="0" w:space="0" w:color="auto"/>
      </w:divBdr>
    </w:div>
    <w:div w:id="367028441">
      <w:bodyDiv w:val="1"/>
      <w:marLeft w:val="0"/>
      <w:marRight w:val="0"/>
      <w:marTop w:val="0"/>
      <w:marBottom w:val="0"/>
      <w:divBdr>
        <w:top w:val="none" w:sz="0" w:space="0" w:color="auto"/>
        <w:left w:val="none" w:sz="0" w:space="0" w:color="auto"/>
        <w:bottom w:val="none" w:sz="0" w:space="0" w:color="auto"/>
        <w:right w:val="none" w:sz="0" w:space="0" w:color="auto"/>
      </w:divBdr>
    </w:div>
    <w:div w:id="367460824">
      <w:bodyDiv w:val="1"/>
      <w:marLeft w:val="0"/>
      <w:marRight w:val="0"/>
      <w:marTop w:val="0"/>
      <w:marBottom w:val="0"/>
      <w:divBdr>
        <w:top w:val="none" w:sz="0" w:space="0" w:color="auto"/>
        <w:left w:val="none" w:sz="0" w:space="0" w:color="auto"/>
        <w:bottom w:val="none" w:sz="0" w:space="0" w:color="auto"/>
        <w:right w:val="none" w:sz="0" w:space="0" w:color="auto"/>
      </w:divBdr>
    </w:div>
    <w:div w:id="373434525">
      <w:bodyDiv w:val="1"/>
      <w:marLeft w:val="0"/>
      <w:marRight w:val="0"/>
      <w:marTop w:val="0"/>
      <w:marBottom w:val="0"/>
      <w:divBdr>
        <w:top w:val="none" w:sz="0" w:space="0" w:color="auto"/>
        <w:left w:val="none" w:sz="0" w:space="0" w:color="auto"/>
        <w:bottom w:val="none" w:sz="0" w:space="0" w:color="auto"/>
        <w:right w:val="none" w:sz="0" w:space="0" w:color="auto"/>
      </w:divBdr>
    </w:div>
    <w:div w:id="373700804">
      <w:bodyDiv w:val="1"/>
      <w:marLeft w:val="0"/>
      <w:marRight w:val="0"/>
      <w:marTop w:val="0"/>
      <w:marBottom w:val="0"/>
      <w:divBdr>
        <w:top w:val="none" w:sz="0" w:space="0" w:color="auto"/>
        <w:left w:val="none" w:sz="0" w:space="0" w:color="auto"/>
        <w:bottom w:val="none" w:sz="0" w:space="0" w:color="auto"/>
        <w:right w:val="none" w:sz="0" w:space="0" w:color="auto"/>
      </w:divBdr>
    </w:div>
    <w:div w:id="377432560">
      <w:bodyDiv w:val="1"/>
      <w:marLeft w:val="0"/>
      <w:marRight w:val="0"/>
      <w:marTop w:val="0"/>
      <w:marBottom w:val="0"/>
      <w:divBdr>
        <w:top w:val="none" w:sz="0" w:space="0" w:color="auto"/>
        <w:left w:val="none" w:sz="0" w:space="0" w:color="auto"/>
        <w:bottom w:val="none" w:sz="0" w:space="0" w:color="auto"/>
        <w:right w:val="none" w:sz="0" w:space="0" w:color="auto"/>
      </w:divBdr>
    </w:div>
    <w:div w:id="379331920">
      <w:bodyDiv w:val="1"/>
      <w:marLeft w:val="0"/>
      <w:marRight w:val="0"/>
      <w:marTop w:val="0"/>
      <w:marBottom w:val="0"/>
      <w:divBdr>
        <w:top w:val="none" w:sz="0" w:space="0" w:color="auto"/>
        <w:left w:val="none" w:sz="0" w:space="0" w:color="auto"/>
        <w:bottom w:val="none" w:sz="0" w:space="0" w:color="auto"/>
        <w:right w:val="none" w:sz="0" w:space="0" w:color="auto"/>
      </w:divBdr>
    </w:div>
    <w:div w:id="380523837">
      <w:bodyDiv w:val="1"/>
      <w:marLeft w:val="0"/>
      <w:marRight w:val="0"/>
      <w:marTop w:val="0"/>
      <w:marBottom w:val="0"/>
      <w:divBdr>
        <w:top w:val="none" w:sz="0" w:space="0" w:color="auto"/>
        <w:left w:val="none" w:sz="0" w:space="0" w:color="auto"/>
        <w:bottom w:val="none" w:sz="0" w:space="0" w:color="auto"/>
        <w:right w:val="none" w:sz="0" w:space="0" w:color="auto"/>
      </w:divBdr>
    </w:div>
    <w:div w:id="382019204">
      <w:bodyDiv w:val="1"/>
      <w:marLeft w:val="0"/>
      <w:marRight w:val="0"/>
      <w:marTop w:val="0"/>
      <w:marBottom w:val="0"/>
      <w:divBdr>
        <w:top w:val="none" w:sz="0" w:space="0" w:color="auto"/>
        <w:left w:val="none" w:sz="0" w:space="0" w:color="auto"/>
        <w:bottom w:val="none" w:sz="0" w:space="0" w:color="auto"/>
        <w:right w:val="none" w:sz="0" w:space="0" w:color="auto"/>
      </w:divBdr>
    </w:div>
    <w:div w:id="384183866">
      <w:bodyDiv w:val="1"/>
      <w:marLeft w:val="0"/>
      <w:marRight w:val="0"/>
      <w:marTop w:val="0"/>
      <w:marBottom w:val="0"/>
      <w:divBdr>
        <w:top w:val="none" w:sz="0" w:space="0" w:color="auto"/>
        <w:left w:val="none" w:sz="0" w:space="0" w:color="auto"/>
        <w:bottom w:val="none" w:sz="0" w:space="0" w:color="auto"/>
        <w:right w:val="none" w:sz="0" w:space="0" w:color="auto"/>
      </w:divBdr>
    </w:div>
    <w:div w:id="385110768">
      <w:bodyDiv w:val="1"/>
      <w:marLeft w:val="0"/>
      <w:marRight w:val="0"/>
      <w:marTop w:val="0"/>
      <w:marBottom w:val="0"/>
      <w:divBdr>
        <w:top w:val="none" w:sz="0" w:space="0" w:color="auto"/>
        <w:left w:val="none" w:sz="0" w:space="0" w:color="auto"/>
        <w:bottom w:val="none" w:sz="0" w:space="0" w:color="auto"/>
        <w:right w:val="none" w:sz="0" w:space="0" w:color="auto"/>
      </w:divBdr>
    </w:div>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394160005">
      <w:bodyDiv w:val="1"/>
      <w:marLeft w:val="0"/>
      <w:marRight w:val="0"/>
      <w:marTop w:val="0"/>
      <w:marBottom w:val="0"/>
      <w:divBdr>
        <w:top w:val="none" w:sz="0" w:space="0" w:color="auto"/>
        <w:left w:val="none" w:sz="0" w:space="0" w:color="auto"/>
        <w:bottom w:val="none" w:sz="0" w:space="0" w:color="auto"/>
        <w:right w:val="none" w:sz="0" w:space="0" w:color="auto"/>
      </w:divBdr>
    </w:div>
    <w:div w:id="395014818">
      <w:bodyDiv w:val="1"/>
      <w:marLeft w:val="0"/>
      <w:marRight w:val="0"/>
      <w:marTop w:val="0"/>
      <w:marBottom w:val="0"/>
      <w:divBdr>
        <w:top w:val="none" w:sz="0" w:space="0" w:color="auto"/>
        <w:left w:val="none" w:sz="0" w:space="0" w:color="auto"/>
        <w:bottom w:val="none" w:sz="0" w:space="0" w:color="auto"/>
        <w:right w:val="none" w:sz="0" w:space="0" w:color="auto"/>
      </w:divBdr>
    </w:div>
    <w:div w:id="402341648">
      <w:bodyDiv w:val="1"/>
      <w:marLeft w:val="0"/>
      <w:marRight w:val="0"/>
      <w:marTop w:val="0"/>
      <w:marBottom w:val="0"/>
      <w:divBdr>
        <w:top w:val="none" w:sz="0" w:space="0" w:color="auto"/>
        <w:left w:val="none" w:sz="0" w:space="0" w:color="auto"/>
        <w:bottom w:val="none" w:sz="0" w:space="0" w:color="auto"/>
        <w:right w:val="none" w:sz="0" w:space="0" w:color="auto"/>
      </w:divBdr>
    </w:div>
    <w:div w:id="402528511">
      <w:bodyDiv w:val="1"/>
      <w:marLeft w:val="0"/>
      <w:marRight w:val="0"/>
      <w:marTop w:val="0"/>
      <w:marBottom w:val="0"/>
      <w:divBdr>
        <w:top w:val="none" w:sz="0" w:space="0" w:color="auto"/>
        <w:left w:val="none" w:sz="0" w:space="0" w:color="auto"/>
        <w:bottom w:val="none" w:sz="0" w:space="0" w:color="auto"/>
        <w:right w:val="none" w:sz="0" w:space="0" w:color="auto"/>
      </w:divBdr>
    </w:div>
    <w:div w:id="405155562">
      <w:bodyDiv w:val="1"/>
      <w:marLeft w:val="0"/>
      <w:marRight w:val="0"/>
      <w:marTop w:val="0"/>
      <w:marBottom w:val="0"/>
      <w:divBdr>
        <w:top w:val="none" w:sz="0" w:space="0" w:color="auto"/>
        <w:left w:val="none" w:sz="0" w:space="0" w:color="auto"/>
        <w:bottom w:val="none" w:sz="0" w:space="0" w:color="auto"/>
        <w:right w:val="none" w:sz="0" w:space="0" w:color="auto"/>
      </w:divBdr>
    </w:div>
    <w:div w:id="406463093">
      <w:bodyDiv w:val="1"/>
      <w:marLeft w:val="0"/>
      <w:marRight w:val="0"/>
      <w:marTop w:val="0"/>
      <w:marBottom w:val="0"/>
      <w:divBdr>
        <w:top w:val="none" w:sz="0" w:space="0" w:color="auto"/>
        <w:left w:val="none" w:sz="0" w:space="0" w:color="auto"/>
        <w:bottom w:val="none" w:sz="0" w:space="0" w:color="auto"/>
        <w:right w:val="none" w:sz="0" w:space="0" w:color="auto"/>
      </w:divBdr>
    </w:div>
    <w:div w:id="408355014">
      <w:bodyDiv w:val="1"/>
      <w:marLeft w:val="0"/>
      <w:marRight w:val="0"/>
      <w:marTop w:val="0"/>
      <w:marBottom w:val="0"/>
      <w:divBdr>
        <w:top w:val="none" w:sz="0" w:space="0" w:color="auto"/>
        <w:left w:val="none" w:sz="0" w:space="0" w:color="auto"/>
        <w:bottom w:val="none" w:sz="0" w:space="0" w:color="auto"/>
        <w:right w:val="none" w:sz="0" w:space="0" w:color="auto"/>
      </w:divBdr>
    </w:div>
    <w:div w:id="411663551">
      <w:bodyDiv w:val="1"/>
      <w:marLeft w:val="0"/>
      <w:marRight w:val="0"/>
      <w:marTop w:val="0"/>
      <w:marBottom w:val="0"/>
      <w:divBdr>
        <w:top w:val="none" w:sz="0" w:space="0" w:color="auto"/>
        <w:left w:val="none" w:sz="0" w:space="0" w:color="auto"/>
        <w:bottom w:val="none" w:sz="0" w:space="0" w:color="auto"/>
        <w:right w:val="none" w:sz="0" w:space="0" w:color="auto"/>
      </w:divBdr>
    </w:div>
    <w:div w:id="413089514">
      <w:bodyDiv w:val="1"/>
      <w:marLeft w:val="0"/>
      <w:marRight w:val="0"/>
      <w:marTop w:val="0"/>
      <w:marBottom w:val="0"/>
      <w:divBdr>
        <w:top w:val="none" w:sz="0" w:space="0" w:color="auto"/>
        <w:left w:val="none" w:sz="0" w:space="0" w:color="auto"/>
        <w:bottom w:val="none" w:sz="0" w:space="0" w:color="auto"/>
        <w:right w:val="none" w:sz="0" w:space="0" w:color="auto"/>
      </w:divBdr>
    </w:div>
    <w:div w:id="414128564">
      <w:bodyDiv w:val="1"/>
      <w:marLeft w:val="0"/>
      <w:marRight w:val="0"/>
      <w:marTop w:val="0"/>
      <w:marBottom w:val="0"/>
      <w:divBdr>
        <w:top w:val="none" w:sz="0" w:space="0" w:color="auto"/>
        <w:left w:val="none" w:sz="0" w:space="0" w:color="auto"/>
        <w:bottom w:val="none" w:sz="0" w:space="0" w:color="auto"/>
        <w:right w:val="none" w:sz="0" w:space="0" w:color="auto"/>
      </w:divBdr>
    </w:div>
    <w:div w:id="418210590">
      <w:bodyDiv w:val="1"/>
      <w:marLeft w:val="0"/>
      <w:marRight w:val="0"/>
      <w:marTop w:val="0"/>
      <w:marBottom w:val="0"/>
      <w:divBdr>
        <w:top w:val="none" w:sz="0" w:space="0" w:color="auto"/>
        <w:left w:val="none" w:sz="0" w:space="0" w:color="auto"/>
        <w:bottom w:val="none" w:sz="0" w:space="0" w:color="auto"/>
        <w:right w:val="none" w:sz="0" w:space="0" w:color="auto"/>
      </w:divBdr>
    </w:div>
    <w:div w:id="419447837">
      <w:bodyDiv w:val="1"/>
      <w:marLeft w:val="0"/>
      <w:marRight w:val="0"/>
      <w:marTop w:val="0"/>
      <w:marBottom w:val="0"/>
      <w:divBdr>
        <w:top w:val="none" w:sz="0" w:space="0" w:color="auto"/>
        <w:left w:val="none" w:sz="0" w:space="0" w:color="auto"/>
        <w:bottom w:val="none" w:sz="0" w:space="0" w:color="auto"/>
        <w:right w:val="none" w:sz="0" w:space="0" w:color="auto"/>
      </w:divBdr>
    </w:div>
    <w:div w:id="422651989">
      <w:bodyDiv w:val="1"/>
      <w:marLeft w:val="0"/>
      <w:marRight w:val="0"/>
      <w:marTop w:val="0"/>
      <w:marBottom w:val="0"/>
      <w:divBdr>
        <w:top w:val="none" w:sz="0" w:space="0" w:color="auto"/>
        <w:left w:val="none" w:sz="0" w:space="0" w:color="auto"/>
        <w:bottom w:val="none" w:sz="0" w:space="0" w:color="auto"/>
        <w:right w:val="none" w:sz="0" w:space="0" w:color="auto"/>
      </w:divBdr>
    </w:div>
    <w:div w:id="422838919">
      <w:bodyDiv w:val="1"/>
      <w:marLeft w:val="0"/>
      <w:marRight w:val="0"/>
      <w:marTop w:val="0"/>
      <w:marBottom w:val="0"/>
      <w:divBdr>
        <w:top w:val="none" w:sz="0" w:space="0" w:color="auto"/>
        <w:left w:val="none" w:sz="0" w:space="0" w:color="auto"/>
        <w:bottom w:val="none" w:sz="0" w:space="0" w:color="auto"/>
        <w:right w:val="none" w:sz="0" w:space="0" w:color="auto"/>
      </w:divBdr>
    </w:div>
    <w:div w:id="424769311">
      <w:bodyDiv w:val="1"/>
      <w:marLeft w:val="0"/>
      <w:marRight w:val="0"/>
      <w:marTop w:val="0"/>
      <w:marBottom w:val="0"/>
      <w:divBdr>
        <w:top w:val="none" w:sz="0" w:space="0" w:color="auto"/>
        <w:left w:val="none" w:sz="0" w:space="0" w:color="auto"/>
        <w:bottom w:val="none" w:sz="0" w:space="0" w:color="auto"/>
        <w:right w:val="none" w:sz="0" w:space="0" w:color="auto"/>
      </w:divBdr>
    </w:div>
    <w:div w:id="429011568">
      <w:bodyDiv w:val="1"/>
      <w:marLeft w:val="0"/>
      <w:marRight w:val="0"/>
      <w:marTop w:val="0"/>
      <w:marBottom w:val="0"/>
      <w:divBdr>
        <w:top w:val="none" w:sz="0" w:space="0" w:color="auto"/>
        <w:left w:val="none" w:sz="0" w:space="0" w:color="auto"/>
        <w:bottom w:val="none" w:sz="0" w:space="0" w:color="auto"/>
        <w:right w:val="none" w:sz="0" w:space="0" w:color="auto"/>
      </w:divBdr>
    </w:div>
    <w:div w:id="429745094">
      <w:bodyDiv w:val="1"/>
      <w:marLeft w:val="0"/>
      <w:marRight w:val="0"/>
      <w:marTop w:val="0"/>
      <w:marBottom w:val="0"/>
      <w:divBdr>
        <w:top w:val="none" w:sz="0" w:space="0" w:color="auto"/>
        <w:left w:val="none" w:sz="0" w:space="0" w:color="auto"/>
        <w:bottom w:val="none" w:sz="0" w:space="0" w:color="auto"/>
        <w:right w:val="none" w:sz="0" w:space="0" w:color="auto"/>
      </w:divBdr>
    </w:div>
    <w:div w:id="430855270">
      <w:bodyDiv w:val="1"/>
      <w:marLeft w:val="0"/>
      <w:marRight w:val="0"/>
      <w:marTop w:val="0"/>
      <w:marBottom w:val="0"/>
      <w:divBdr>
        <w:top w:val="none" w:sz="0" w:space="0" w:color="auto"/>
        <w:left w:val="none" w:sz="0" w:space="0" w:color="auto"/>
        <w:bottom w:val="none" w:sz="0" w:space="0" w:color="auto"/>
        <w:right w:val="none" w:sz="0" w:space="0" w:color="auto"/>
      </w:divBdr>
    </w:div>
    <w:div w:id="432629859">
      <w:bodyDiv w:val="1"/>
      <w:marLeft w:val="0"/>
      <w:marRight w:val="0"/>
      <w:marTop w:val="0"/>
      <w:marBottom w:val="0"/>
      <w:divBdr>
        <w:top w:val="none" w:sz="0" w:space="0" w:color="auto"/>
        <w:left w:val="none" w:sz="0" w:space="0" w:color="auto"/>
        <w:bottom w:val="none" w:sz="0" w:space="0" w:color="auto"/>
        <w:right w:val="none" w:sz="0" w:space="0" w:color="auto"/>
      </w:divBdr>
    </w:div>
    <w:div w:id="435515648">
      <w:bodyDiv w:val="1"/>
      <w:marLeft w:val="0"/>
      <w:marRight w:val="0"/>
      <w:marTop w:val="0"/>
      <w:marBottom w:val="0"/>
      <w:divBdr>
        <w:top w:val="none" w:sz="0" w:space="0" w:color="auto"/>
        <w:left w:val="none" w:sz="0" w:space="0" w:color="auto"/>
        <w:bottom w:val="none" w:sz="0" w:space="0" w:color="auto"/>
        <w:right w:val="none" w:sz="0" w:space="0" w:color="auto"/>
      </w:divBdr>
    </w:div>
    <w:div w:id="449975966">
      <w:bodyDiv w:val="1"/>
      <w:marLeft w:val="0"/>
      <w:marRight w:val="0"/>
      <w:marTop w:val="0"/>
      <w:marBottom w:val="0"/>
      <w:divBdr>
        <w:top w:val="none" w:sz="0" w:space="0" w:color="auto"/>
        <w:left w:val="none" w:sz="0" w:space="0" w:color="auto"/>
        <w:bottom w:val="none" w:sz="0" w:space="0" w:color="auto"/>
        <w:right w:val="none" w:sz="0" w:space="0" w:color="auto"/>
      </w:divBdr>
    </w:div>
    <w:div w:id="456609415">
      <w:bodyDiv w:val="1"/>
      <w:marLeft w:val="0"/>
      <w:marRight w:val="0"/>
      <w:marTop w:val="0"/>
      <w:marBottom w:val="0"/>
      <w:divBdr>
        <w:top w:val="none" w:sz="0" w:space="0" w:color="auto"/>
        <w:left w:val="none" w:sz="0" w:space="0" w:color="auto"/>
        <w:bottom w:val="none" w:sz="0" w:space="0" w:color="auto"/>
        <w:right w:val="none" w:sz="0" w:space="0" w:color="auto"/>
      </w:divBdr>
    </w:div>
    <w:div w:id="462508295">
      <w:bodyDiv w:val="1"/>
      <w:marLeft w:val="0"/>
      <w:marRight w:val="0"/>
      <w:marTop w:val="0"/>
      <w:marBottom w:val="0"/>
      <w:divBdr>
        <w:top w:val="none" w:sz="0" w:space="0" w:color="auto"/>
        <w:left w:val="none" w:sz="0" w:space="0" w:color="auto"/>
        <w:bottom w:val="none" w:sz="0" w:space="0" w:color="auto"/>
        <w:right w:val="none" w:sz="0" w:space="0" w:color="auto"/>
      </w:divBdr>
    </w:div>
    <w:div w:id="462845472">
      <w:bodyDiv w:val="1"/>
      <w:marLeft w:val="0"/>
      <w:marRight w:val="0"/>
      <w:marTop w:val="0"/>
      <w:marBottom w:val="0"/>
      <w:divBdr>
        <w:top w:val="none" w:sz="0" w:space="0" w:color="auto"/>
        <w:left w:val="none" w:sz="0" w:space="0" w:color="auto"/>
        <w:bottom w:val="none" w:sz="0" w:space="0" w:color="auto"/>
        <w:right w:val="none" w:sz="0" w:space="0" w:color="auto"/>
      </w:divBdr>
    </w:div>
    <w:div w:id="463743193">
      <w:bodyDiv w:val="1"/>
      <w:marLeft w:val="0"/>
      <w:marRight w:val="0"/>
      <w:marTop w:val="0"/>
      <w:marBottom w:val="0"/>
      <w:divBdr>
        <w:top w:val="none" w:sz="0" w:space="0" w:color="auto"/>
        <w:left w:val="none" w:sz="0" w:space="0" w:color="auto"/>
        <w:bottom w:val="none" w:sz="0" w:space="0" w:color="auto"/>
        <w:right w:val="none" w:sz="0" w:space="0" w:color="auto"/>
      </w:divBdr>
    </w:div>
    <w:div w:id="480274374">
      <w:bodyDiv w:val="1"/>
      <w:marLeft w:val="0"/>
      <w:marRight w:val="0"/>
      <w:marTop w:val="0"/>
      <w:marBottom w:val="0"/>
      <w:divBdr>
        <w:top w:val="none" w:sz="0" w:space="0" w:color="auto"/>
        <w:left w:val="none" w:sz="0" w:space="0" w:color="auto"/>
        <w:bottom w:val="none" w:sz="0" w:space="0" w:color="auto"/>
        <w:right w:val="none" w:sz="0" w:space="0" w:color="auto"/>
      </w:divBdr>
    </w:div>
    <w:div w:id="503790145">
      <w:bodyDiv w:val="1"/>
      <w:marLeft w:val="0"/>
      <w:marRight w:val="0"/>
      <w:marTop w:val="0"/>
      <w:marBottom w:val="0"/>
      <w:divBdr>
        <w:top w:val="none" w:sz="0" w:space="0" w:color="auto"/>
        <w:left w:val="none" w:sz="0" w:space="0" w:color="auto"/>
        <w:bottom w:val="none" w:sz="0" w:space="0" w:color="auto"/>
        <w:right w:val="none" w:sz="0" w:space="0" w:color="auto"/>
      </w:divBdr>
    </w:div>
    <w:div w:id="504442711">
      <w:bodyDiv w:val="1"/>
      <w:marLeft w:val="0"/>
      <w:marRight w:val="0"/>
      <w:marTop w:val="0"/>
      <w:marBottom w:val="0"/>
      <w:divBdr>
        <w:top w:val="none" w:sz="0" w:space="0" w:color="auto"/>
        <w:left w:val="none" w:sz="0" w:space="0" w:color="auto"/>
        <w:bottom w:val="none" w:sz="0" w:space="0" w:color="auto"/>
        <w:right w:val="none" w:sz="0" w:space="0" w:color="auto"/>
      </w:divBdr>
    </w:div>
    <w:div w:id="510409860">
      <w:bodyDiv w:val="1"/>
      <w:marLeft w:val="0"/>
      <w:marRight w:val="0"/>
      <w:marTop w:val="0"/>
      <w:marBottom w:val="0"/>
      <w:divBdr>
        <w:top w:val="none" w:sz="0" w:space="0" w:color="auto"/>
        <w:left w:val="none" w:sz="0" w:space="0" w:color="auto"/>
        <w:bottom w:val="none" w:sz="0" w:space="0" w:color="auto"/>
        <w:right w:val="none" w:sz="0" w:space="0" w:color="auto"/>
      </w:divBdr>
    </w:div>
    <w:div w:id="513880193">
      <w:bodyDiv w:val="1"/>
      <w:marLeft w:val="0"/>
      <w:marRight w:val="0"/>
      <w:marTop w:val="0"/>
      <w:marBottom w:val="0"/>
      <w:divBdr>
        <w:top w:val="none" w:sz="0" w:space="0" w:color="auto"/>
        <w:left w:val="none" w:sz="0" w:space="0" w:color="auto"/>
        <w:bottom w:val="none" w:sz="0" w:space="0" w:color="auto"/>
        <w:right w:val="none" w:sz="0" w:space="0" w:color="auto"/>
      </w:divBdr>
    </w:div>
    <w:div w:id="516968814">
      <w:bodyDiv w:val="1"/>
      <w:marLeft w:val="0"/>
      <w:marRight w:val="0"/>
      <w:marTop w:val="0"/>
      <w:marBottom w:val="0"/>
      <w:divBdr>
        <w:top w:val="none" w:sz="0" w:space="0" w:color="auto"/>
        <w:left w:val="none" w:sz="0" w:space="0" w:color="auto"/>
        <w:bottom w:val="none" w:sz="0" w:space="0" w:color="auto"/>
        <w:right w:val="none" w:sz="0" w:space="0" w:color="auto"/>
      </w:divBdr>
    </w:div>
    <w:div w:id="521281131">
      <w:bodyDiv w:val="1"/>
      <w:marLeft w:val="0"/>
      <w:marRight w:val="0"/>
      <w:marTop w:val="0"/>
      <w:marBottom w:val="0"/>
      <w:divBdr>
        <w:top w:val="none" w:sz="0" w:space="0" w:color="auto"/>
        <w:left w:val="none" w:sz="0" w:space="0" w:color="auto"/>
        <w:bottom w:val="none" w:sz="0" w:space="0" w:color="auto"/>
        <w:right w:val="none" w:sz="0" w:space="0" w:color="auto"/>
      </w:divBdr>
    </w:div>
    <w:div w:id="528300082">
      <w:bodyDiv w:val="1"/>
      <w:marLeft w:val="0"/>
      <w:marRight w:val="0"/>
      <w:marTop w:val="0"/>
      <w:marBottom w:val="0"/>
      <w:divBdr>
        <w:top w:val="none" w:sz="0" w:space="0" w:color="auto"/>
        <w:left w:val="none" w:sz="0" w:space="0" w:color="auto"/>
        <w:bottom w:val="none" w:sz="0" w:space="0" w:color="auto"/>
        <w:right w:val="none" w:sz="0" w:space="0" w:color="auto"/>
      </w:divBdr>
    </w:div>
    <w:div w:id="529226481">
      <w:bodyDiv w:val="1"/>
      <w:marLeft w:val="0"/>
      <w:marRight w:val="0"/>
      <w:marTop w:val="0"/>
      <w:marBottom w:val="0"/>
      <w:divBdr>
        <w:top w:val="none" w:sz="0" w:space="0" w:color="auto"/>
        <w:left w:val="none" w:sz="0" w:space="0" w:color="auto"/>
        <w:bottom w:val="none" w:sz="0" w:space="0" w:color="auto"/>
        <w:right w:val="none" w:sz="0" w:space="0" w:color="auto"/>
      </w:divBdr>
    </w:div>
    <w:div w:id="531646646">
      <w:bodyDiv w:val="1"/>
      <w:marLeft w:val="0"/>
      <w:marRight w:val="0"/>
      <w:marTop w:val="0"/>
      <w:marBottom w:val="0"/>
      <w:divBdr>
        <w:top w:val="none" w:sz="0" w:space="0" w:color="auto"/>
        <w:left w:val="none" w:sz="0" w:space="0" w:color="auto"/>
        <w:bottom w:val="none" w:sz="0" w:space="0" w:color="auto"/>
        <w:right w:val="none" w:sz="0" w:space="0" w:color="auto"/>
      </w:divBdr>
    </w:div>
    <w:div w:id="535198550">
      <w:bodyDiv w:val="1"/>
      <w:marLeft w:val="0"/>
      <w:marRight w:val="0"/>
      <w:marTop w:val="0"/>
      <w:marBottom w:val="0"/>
      <w:divBdr>
        <w:top w:val="none" w:sz="0" w:space="0" w:color="auto"/>
        <w:left w:val="none" w:sz="0" w:space="0" w:color="auto"/>
        <w:bottom w:val="none" w:sz="0" w:space="0" w:color="auto"/>
        <w:right w:val="none" w:sz="0" w:space="0" w:color="auto"/>
      </w:divBdr>
    </w:div>
    <w:div w:id="540435512">
      <w:bodyDiv w:val="1"/>
      <w:marLeft w:val="0"/>
      <w:marRight w:val="0"/>
      <w:marTop w:val="0"/>
      <w:marBottom w:val="0"/>
      <w:divBdr>
        <w:top w:val="none" w:sz="0" w:space="0" w:color="auto"/>
        <w:left w:val="none" w:sz="0" w:space="0" w:color="auto"/>
        <w:bottom w:val="none" w:sz="0" w:space="0" w:color="auto"/>
        <w:right w:val="none" w:sz="0" w:space="0" w:color="auto"/>
      </w:divBdr>
    </w:div>
    <w:div w:id="542325144">
      <w:bodyDiv w:val="1"/>
      <w:marLeft w:val="0"/>
      <w:marRight w:val="0"/>
      <w:marTop w:val="0"/>
      <w:marBottom w:val="0"/>
      <w:divBdr>
        <w:top w:val="none" w:sz="0" w:space="0" w:color="auto"/>
        <w:left w:val="none" w:sz="0" w:space="0" w:color="auto"/>
        <w:bottom w:val="none" w:sz="0" w:space="0" w:color="auto"/>
        <w:right w:val="none" w:sz="0" w:space="0" w:color="auto"/>
      </w:divBdr>
    </w:div>
    <w:div w:id="549197352">
      <w:bodyDiv w:val="1"/>
      <w:marLeft w:val="0"/>
      <w:marRight w:val="0"/>
      <w:marTop w:val="0"/>
      <w:marBottom w:val="0"/>
      <w:divBdr>
        <w:top w:val="none" w:sz="0" w:space="0" w:color="auto"/>
        <w:left w:val="none" w:sz="0" w:space="0" w:color="auto"/>
        <w:bottom w:val="none" w:sz="0" w:space="0" w:color="auto"/>
        <w:right w:val="none" w:sz="0" w:space="0" w:color="auto"/>
      </w:divBdr>
    </w:div>
    <w:div w:id="551624571">
      <w:bodyDiv w:val="1"/>
      <w:marLeft w:val="0"/>
      <w:marRight w:val="0"/>
      <w:marTop w:val="0"/>
      <w:marBottom w:val="0"/>
      <w:divBdr>
        <w:top w:val="none" w:sz="0" w:space="0" w:color="auto"/>
        <w:left w:val="none" w:sz="0" w:space="0" w:color="auto"/>
        <w:bottom w:val="none" w:sz="0" w:space="0" w:color="auto"/>
        <w:right w:val="none" w:sz="0" w:space="0" w:color="auto"/>
      </w:divBdr>
    </w:div>
    <w:div w:id="554124204">
      <w:bodyDiv w:val="1"/>
      <w:marLeft w:val="0"/>
      <w:marRight w:val="0"/>
      <w:marTop w:val="0"/>
      <w:marBottom w:val="0"/>
      <w:divBdr>
        <w:top w:val="none" w:sz="0" w:space="0" w:color="auto"/>
        <w:left w:val="none" w:sz="0" w:space="0" w:color="auto"/>
        <w:bottom w:val="none" w:sz="0" w:space="0" w:color="auto"/>
        <w:right w:val="none" w:sz="0" w:space="0" w:color="auto"/>
      </w:divBdr>
    </w:div>
    <w:div w:id="558978419">
      <w:bodyDiv w:val="1"/>
      <w:marLeft w:val="0"/>
      <w:marRight w:val="0"/>
      <w:marTop w:val="0"/>
      <w:marBottom w:val="0"/>
      <w:divBdr>
        <w:top w:val="none" w:sz="0" w:space="0" w:color="auto"/>
        <w:left w:val="none" w:sz="0" w:space="0" w:color="auto"/>
        <w:bottom w:val="none" w:sz="0" w:space="0" w:color="auto"/>
        <w:right w:val="none" w:sz="0" w:space="0" w:color="auto"/>
      </w:divBdr>
    </w:div>
    <w:div w:id="559293543">
      <w:bodyDiv w:val="1"/>
      <w:marLeft w:val="0"/>
      <w:marRight w:val="0"/>
      <w:marTop w:val="0"/>
      <w:marBottom w:val="0"/>
      <w:divBdr>
        <w:top w:val="none" w:sz="0" w:space="0" w:color="auto"/>
        <w:left w:val="none" w:sz="0" w:space="0" w:color="auto"/>
        <w:bottom w:val="none" w:sz="0" w:space="0" w:color="auto"/>
        <w:right w:val="none" w:sz="0" w:space="0" w:color="auto"/>
      </w:divBdr>
    </w:div>
    <w:div w:id="559562406">
      <w:bodyDiv w:val="1"/>
      <w:marLeft w:val="0"/>
      <w:marRight w:val="0"/>
      <w:marTop w:val="0"/>
      <w:marBottom w:val="0"/>
      <w:divBdr>
        <w:top w:val="none" w:sz="0" w:space="0" w:color="auto"/>
        <w:left w:val="none" w:sz="0" w:space="0" w:color="auto"/>
        <w:bottom w:val="none" w:sz="0" w:space="0" w:color="auto"/>
        <w:right w:val="none" w:sz="0" w:space="0" w:color="auto"/>
      </w:divBdr>
    </w:div>
    <w:div w:id="560942593">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76324368">
      <w:bodyDiv w:val="1"/>
      <w:marLeft w:val="0"/>
      <w:marRight w:val="0"/>
      <w:marTop w:val="0"/>
      <w:marBottom w:val="0"/>
      <w:divBdr>
        <w:top w:val="none" w:sz="0" w:space="0" w:color="auto"/>
        <w:left w:val="none" w:sz="0" w:space="0" w:color="auto"/>
        <w:bottom w:val="none" w:sz="0" w:space="0" w:color="auto"/>
        <w:right w:val="none" w:sz="0" w:space="0" w:color="auto"/>
      </w:divBdr>
    </w:div>
    <w:div w:id="578489690">
      <w:bodyDiv w:val="1"/>
      <w:marLeft w:val="0"/>
      <w:marRight w:val="0"/>
      <w:marTop w:val="0"/>
      <w:marBottom w:val="0"/>
      <w:divBdr>
        <w:top w:val="none" w:sz="0" w:space="0" w:color="auto"/>
        <w:left w:val="none" w:sz="0" w:space="0" w:color="auto"/>
        <w:bottom w:val="none" w:sz="0" w:space="0" w:color="auto"/>
        <w:right w:val="none" w:sz="0" w:space="0" w:color="auto"/>
      </w:divBdr>
    </w:div>
    <w:div w:id="579295810">
      <w:bodyDiv w:val="1"/>
      <w:marLeft w:val="0"/>
      <w:marRight w:val="0"/>
      <w:marTop w:val="0"/>
      <w:marBottom w:val="0"/>
      <w:divBdr>
        <w:top w:val="none" w:sz="0" w:space="0" w:color="auto"/>
        <w:left w:val="none" w:sz="0" w:space="0" w:color="auto"/>
        <w:bottom w:val="none" w:sz="0" w:space="0" w:color="auto"/>
        <w:right w:val="none" w:sz="0" w:space="0" w:color="auto"/>
      </w:divBdr>
    </w:div>
    <w:div w:id="582765581">
      <w:bodyDiv w:val="1"/>
      <w:marLeft w:val="0"/>
      <w:marRight w:val="0"/>
      <w:marTop w:val="0"/>
      <w:marBottom w:val="0"/>
      <w:divBdr>
        <w:top w:val="none" w:sz="0" w:space="0" w:color="auto"/>
        <w:left w:val="none" w:sz="0" w:space="0" w:color="auto"/>
        <w:bottom w:val="none" w:sz="0" w:space="0" w:color="auto"/>
        <w:right w:val="none" w:sz="0" w:space="0" w:color="auto"/>
      </w:divBdr>
    </w:div>
    <w:div w:id="599992240">
      <w:bodyDiv w:val="1"/>
      <w:marLeft w:val="0"/>
      <w:marRight w:val="0"/>
      <w:marTop w:val="0"/>
      <w:marBottom w:val="0"/>
      <w:divBdr>
        <w:top w:val="none" w:sz="0" w:space="0" w:color="auto"/>
        <w:left w:val="none" w:sz="0" w:space="0" w:color="auto"/>
        <w:bottom w:val="none" w:sz="0" w:space="0" w:color="auto"/>
        <w:right w:val="none" w:sz="0" w:space="0" w:color="auto"/>
      </w:divBdr>
    </w:div>
    <w:div w:id="611475741">
      <w:bodyDiv w:val="1"/>
      <w:marLeft w:val="0"/>
      <w:marRight w:val="0"/>
      <w:marTop w:val="0"/>
      <w:marBottom w:val="0"/>
      <w:divBdr>
        <w:top w:val="none" w:sz="0" w:space="0" w:color="auto"/>
        <w:left w:val="none" w:sz="0" w:space="0" w:color="auto"/>
        <w:bottom w:val="none" w:sz="0" w:space="0" w:color="auto"/>
        <w:right w:val="none" w:sz="0" w:space="0" w:color="auto"/>
      </w:divBdr>
    </w:div>
    <w:div w:id="613950732">
      <w:bodyDiv w:val="1"/>
      <w:marLeft w:val="0"/>
      <w:marRight w:val="0"/>
      <w:marTop w:val="0"/>
      <w:marBottom w:val="0"/>
      <w:divBdr>
        <w:top w:val="none" w:sz="0" w:space="0" w:color="auto"/>
        <w:left w:val="none" w:sz="0" w:space="0" w:color="auto"/>
        <w:bottom w:val="none" w:sz="0" w:space="0" w:color="auto"/>
        <w:right w:val="none" w:sz="0" w:space="0" w:color="auto"/>
      </w:divBdr>
    </w:div>
    <w:div w:id="617415760">
      <w:bodyDiv w:val="1"/>
      <w:marLeft w:val="0"/>
      <w:marRight w:val="0"/>
      <w:marTop w:val="0"/>
      <w:marBottom w:val="0"/>
      <w:divBdr>
        <w:top w:val="none" w:sz="0" w:space="0" w:color="auto"/>
        <w:left w:val="none" w:sz="0" w:space="0" w:color="auto"/>
        <w:bottom w:val="none" w:sz="0" w:space="0" w:color="auto"/>
        <w:right w:val="none" w:sz="0" w:space="0" w:color="auto"/>
      </w:divBdr>
    </w:div>
    <w:div w:id="617641335">
      <w:bodyDiv w:val="1"/>
      <w:marLeft w:val="0"/>
      <w:marRight w:val="0"/>
      <w:marTop w:val="0"/>
      <w:marBottom w:val="0"/>
      <w:divBdr>
        <w:top w:val="none" w:sz="0" w:space="0" w:color="auto"/>
        <w:left w:val="none" w:sz="0" w:space="0" w:color="auto"/>
        <w:bottom w:val="none" w:sz="0" w:space="0" w:color="auto"/>
        <w:right w:val="none" w:sz="0" w:space="0" w:color="auto"/>
      </w:divBdr>
    </w:div>
    <w:div w:id="618412088">
      <w:bodyDiv w:val="1"/>
      <w:marLeft w:val="0"/>
      <w:marRight w:val="0"/>
      <w:marTop w:val="0"/>
      <w:marBottom w:val="0"/>
      <w:divBdr>
        <w:top w:val="none" w:sz="0" w:space="0" w:color="auto"/>
        <w:left w:val="none" w:sz="0" w:space="0" w:color="auto"/>
        <w:bottom w:val="none" w:sz="0" w:space="0" w:color="auto"/>
        <w:right w:val="none" w:sz="0" w:space="0" w:color="auto"/>
      </w:divBdr>
    </w:div>
    <w:div w:id="619457612">
      <w:bodyDiv w:val="1"/>
      <w:marLeft w:val="0"/>
      <w:marRight w:val="0"/>
      <w:marTop w:val="0"/>
      <w:marBottom w:val="0"/>
      <w:divBdr>
        <w:top w:val="none" w:sz="0" w:space="0" w:color="auto"/>
        <w:left w:val="none" w:sz="0" w:space="0" w:color="auto"/>
        <w:bottom w:val="none" w:sz="0" w:space="0" w:color="auto"/>
        <w:right w:val="none" w:sz="0" w:space="0" w:color="auto"/>
      </w:divBdr>
    </w:div>
    <w:div w:id="626859968">
      <w:bodyDiv w:val="1"/>
      <w:marLeft w:val="0"/>
      <w:marRight w:val="0"/>
      <w:marTop w:val="0"/>
      <w:marBottom w:val="0"/>
      <w:divBdr>
        <w:top w:val="none" w:sz="0" w:space="0" w:color="auto"/>
        <w:left w:val="none" w:sz="0" w:space="0" w:color="auto"/>
        <w:bottom w:val="none" w:sz="0" w:space="0" w:color="auto"/>
        <w:right w:val="none" w:sz="0" w:space="0" w:color="auto"/>
      </w:divBdr>
    </w:div>
    <w:div w:id="632950141">
      <w:bodyDiv w:val="1"/>
      <w:marLeft w:val="0"/>
      <w:marRight w:val="0"/>
      <w:marTop w:val="0"/>
      <w:marBottom w:val="0"/>
      <w:divBdr>
        <w:top w:val="none" w:sz="0" w:space="0" w:color="auto"/>
        <w:left w:val="none" w:sz="0" w:space="0" w:color="auto"/>
        <w:bottom w:val="none" w:sz="0" w:space="0" w:color="auto"/>
        <w:right w:val="none" w:sz="0" w:space="0" w:color="auto"/>
      </w:divBdr>
    </w:div>
    <w:div w:id="633608540">
      <w:bodyDiv w:val="1"/>
      <w:marLeft w:val="0"/>
      <w:marRight w:val="0"/>
      <w:marTop w:val="0"/>
      <w:marBottom w:val="0"/>
      <w:divBdr>
        <w:top w:val="none" w:sz="0" w:space="0" w:color="auto"/>
        <w:left w:val="none" w:sz="0" w:space="0" w:color="auto"/>
        <w:bottom w:val="none" w:sz="0" w:space="0" w:color="auto"/>
        <w:right w:val="none" w:sz="0" w:space="0" w:color="auto"/>
      </w:divBdr>
    </w:div>
    <w:div w:id="642392863">
      <w:bodyDiv w:val="1"/>
      <w:marLeft w:val="0"/>
      <w:marRight w:val="0"/>
      <w:marTop w:val="0"/>
      <w:marBottom w:val="0"/>
      <w:divBdr>
        <w:top w:val="none" w:sz="0" w:space="0" w:color="auto"/>
        <w:left w:val="none" w:sz="0" w:space="0" w:color="auto"/>
        <w:bottom w:val="none" w:sz="0" w:space="0" w:color="auto"/>
        <w:right w:val="none" w:sz="0" w:space="0" w:color="auto"/>
      </w:divBdr>
    </w:div>
    <w:div w:id="645549279">
      <w:bodyDiv w:val="1"/>
      <w:marLeft w:val="0"/>
      <w:marRight w:val="0"/>
      <w:marTop w:val="0"/>
      <w:marBottom w:val="0"/>
      <w:divBdr>
        <w:top w:val="none" w:sz="0" w:space="0" w:color="auto"/>
        <w:left w:val="none" w:sz="0" w:space="0" w:color="auto"/>
        <w:bottom w:val="none" w:sz="0" w:space="0" w:color="auto"/>
        <w:right w:val="none" w:sz="0" w:space="0" w:color="auto"/>
      </w:divBdr>
    </w:div>
    <w:div w:id="650018652">
      <w:bodyDiv w:val="1"/>
      <w:marLeft w:val="0"/>
      <w:marRight w:val="0"/>
      <w:marTop w:val="0"/>
      <w:marBottom w:val="0"/>
      <w:divBdr>
        <w:top w:val="none" w:sz="0" w:space="0" w:color="auto"/>
        <w:left w:val="none" w:sz="0" w:space="0" w:color="auto"/>
        <w:bottom w:val="none" w:sz="0" w:space="0" w:color="auto"/>
        <w:right w:val="none" w:sz="0" w:space="0" w:color="auto"/>
      </w:divBdr>
    </w:div>
    <w:div w:id="650673952">
      <w:bodyDiv w:val="1"/>
      <w:marLeft w:val="0"/>
      <w:marRight w:val="0"/>
      <w:marTop w:val="0"/>
      <w:marBottom w:val="0"/>
      <w:divBdr>
        <w:top w:val="none" w:sz="0" w:space="0" w:color="auto"/>
        <w:left w:val="none" w:sz="0" w:space="0" w:color="auto"/>
        <w:bottom w:val="none" w:sz="0" w:space="0" w:color="auto"/>
        <w:right w:val="none" w:sz="0" w:space="0" w:color="auto"/>
      </w:divBdr>
    </w:div>
    <w:div w:id="650718168">
      <w:bodyDiv w:val="1"/>
      <w:marLeft w:val="0"/>
      <w:marRight w:val="0"/>
      <w:marTop w:val="0"/>
      <w:marBottom w:val="0"/>
      <w:divBdr>
        <w:top w:val="none" w:sz="0" w:space="0" w:color="auto"/>
        <w:left w:val="none" w:sz="0" w:space="0" w:color="auto"/>
        <w:bottom w:val="none" w:sz="0" w:space="0" w:color="auto"/>
        <w:right w:val="none" w:sz="0" w:space="0" w:color="auto"/>
      </w:divBdr>
    </w:div>
    <w:div w:id="650794812">
      <w:bodyDiv w:val="1"/>
      <w:marLeft w:val="0"/>
      <w:marRight w:val="0"/>
      <w:marTop w:val="0"/>
      <w:marBottom w:val="0"/>
      <w:divBdr>
        <w:top w:val="none" w:sz="0" w:space="0" w:color="auto"/>
        <w:left w:val="none" w:sz="0" w:space="0" w:color="auto"/>
        <w:bottom w:val="none" w:sz="0" w:space="0" w:color="auto"/>
        <w:right w:val="none" w:sz="0" w:space="0" w:color="auto"/>
      </w:divBdr>
    </w:div>
    <w:div w:id="655768286">
      <w:bodyDiv w:val="1"/>
      <w:marLeft w:val="0"/>
      <w:marRight w:val="0"/>
      <w:marTop w:val="0"/>
      <w:marBottom w:val="0"/>
      <w:divBdr>
        <w:top w:val="none" w:sz="0" w:space="0" w:color="auto"/>
        <w:left w:val="none" w:sz="0" w:space="0" w:color="auto"/>
        <w:bottom w:val="none" w:sz="0" w:space="0" w:color="auto"/>
        <w:right w:val="none" w:sz="0" w:space="0" w:color="auto"/>
      </w:divBdr>
    </w:div>
    <w:div w:id="660738072">
      <w:bodyDiv w:val="1"/>
      <w:marLeft w:val="0"/>
      <w:marRight w:val="0"/>
      <w:marTop w:val="0"/>
      <w:marBottom w:val="0"/>
      <w:divBdr>
        <w:top w:val="none" w:sz="0" w:space="0" w:color="auto"/>
        <w:left w:val="none" w:sz="0" w:space="0" w:color="auto"/>
        <w:bottom w:val="none" w:sz="0" w:space="0" w:color="auto"/>
        <w:right w:val="none" w:sz="0" w:space="0" w:color="auto"/>
      </w:divBdr>
    </w:div>
    <w:div w:id="668217413">
      <w:bodyDiv w:val="1"/>
      <w:marLeft w:val="0"/>
      <w:marRight w:val="0"/>
      <w:marTop w:val="0"/>
      <w:marBottom w:val="0"/>
      <w:divBdr>
        <w:top w:val="none" w:sz="0" w:space="0" w:color="auto"/>
        <w:left w:val="none" w:sz="0" w:space="0" w:color="auto"/>
        <w:bottom w:val="none" w:sz="0" w:space="0" w:color="auto"/>
        <w:right w:val="none" w:sz="0" w:space="0" w:color="auto"/>
      </w:divBdr>
    </w:div>
    <w:div w:id="672612330">
      <w:bodyDiv w:val="1"/>
      <w:marLeft w:val="0"/>
      <w:marRight w:val="0"/>
      <w:marTop w:val="0"/>
      <w:marBottom w:val="0"/>
      <w:divBdr>
        <w:top w:val="none" w:sz="0" w:space="0" w:color="auto"/>
        <w:left w:val="none" w:sz="0" w:space="0" w:color="auto"/>
        <w:bottom w:val="none" w:sz="0" w:space="0" w:color="auto"/>
        <w:right w:val="none" w:sz="0" w:space="0" w:color="auto"/>
      </w:divBdr>
    </w:div>
    <w:div w:id="676929885">
      <w:bodyDiv w:val="1"/>
      <w:marLeft w:val="0"/>
      <w:marRight w:val="0"/>
      <w:marTop w:val="0"/>
      <w:marBottom w:val="0"/>
      <w:divBdr>
        <w:top w:val="none" w:sz="0" w:space="0" w:color="auto"/>
        <w:left w:val="none" w:sz="0" w:space="0" w:color="auto"/>
        <w:bottom w:val="none" w:sz="0" w:space="0" w:color="auto"/>
        <w:right w:val="none" w:sz="0" w:space="0" w:color="auto"/>
      </w:divBdr>
    </w:div>
    <w:div w:id="677582189">
      <w:bodyDiv w:val="1"/>
      <w:marLeft w:val="0"/>
      <w:marRight w:val="0"/>
      <w:marTop w:val="0"/>
      <w:marBottom w:val="0"/>
      <w:divBdr>
        <w:top w:val="none" w:sz="0" w:space="0" w:color="auto"/>
        <w:left w:val="none" w:sz="0" w:space="0" w:color="auto"/>
        <w:bottom w:val="none" w:sz="0" w:space="0" w:color="auto"/>
        <w:right w:val="none" w:sz="0" w:space="0" w:color="auto"/>
      </w:divBdr>
    </w:div>
    <w:div w:id="678973499">
      <w:bodyDiv w:val="1"/>
      <w:marLeft w:val="0"/>
      <w:marRight w:val="0"/>
      <w:marTop w:val="0"/>
      <w:marBottom w:val="0"/>
      <w:divBdr>
        <w:top w:val="none" w:sz="0" w:space="0" w:color="auto"/>
        <w:left w:val="none" w:sz="0" w:space="0" w:color="auto"/>
        <w:bottom w:val="none" w:sz="0" w:space="0" w:color="auto"/>
        <w:right w:val="none" w:sz="0" w:space="0" w:color="auto"/>
      </w:divBdr>
    </w:div>
    <w:div w:id="679699826">
      <w:bodyDiv w:val="1"/>
      <w:marLeft w:val="0"/>
      <w:marRight w:val="0"/>
      <w:marTop w:val="0"/>
      <w:marBottom w:val="0"/>
      <w:divBdr>
        <w:top w:val="none" w:sz="0" w:space="0" w:color="auto"/>
        <w:left w:val="none" w:sz="0" w:space="0" w:color="auto"/>
        <w:bottom w:val="none" w:sz="0" w:space="0" w:color="auto"/>
        <w:right w:val="none" w:sz="0" w:space="0" w:color="auto"/>
      </w:divBdr>
    </w:div>
    <w:div w:id="682435988">
      <w:bodyDiv w:val="1"/>
      <w:marLeft w:val="0"/>
      <w:marRight w:val="0"/>
      <w:marTop w:val="0"/>
      <w:marBottom w:val="0"/>
      <w:divBdr>
        <w:top w:val="none" w:sz="0" w:space="0" w:color="auto"/>
        <w:left w:val="none" w:sz="0" w:space="0" w:color="auto"/>
        <w:bottom w:val="none" w:sz="0" w:space="0" w:color="auto"/>
        <w:right w:val="none" w:sz="0" w:space="0" w:color="auto"/>
      </w:divBdr>
    </w:div>
    <w:div w:id="682708980">
      <w:bodyDiv w:val="1"/>
      <w:marLeft w:val="0"/>
      <w:marRight w:val="0"/>
      <w:marTop w:val="0"/>
      <w:marBottom w:val="0"/>
      <w:divBdr>
        <w:top w:val="none" w:sz="0" w:space="0" w:color="auto"/>
        <w:left w:val="none" w:sz="0" w:space="0" w:color="auto"/>
        <w:bottom w:val="none" w:sz="0" w:space="0" w:color="auto"/>
        <w:right w:val="none" w:sz="0" w:space="0" w:color="auto"/>
      </w:divBdr>
    </w:div>
    <w:div w:id="682820876">
      <w:bodyDiv w:val="1"/>
      <w:marLeft w:val="0"/>
      <w:marRight w:val="0"/>
      <w:marTop w:val="0"/>
      <w:marBottom w:val="0"/>
      <w:divBdr>
        <w:top w:val="none" w:sz="0" w:space="0" w:color="auto"/>
        <w:left w:val="none" w:sz="0" w:space="0" w:color="auto"/>
        <w:bottom w:val="none" w:sz="0" w:space="0" w:color="auto"/>
        <w:right w:val="none" w:sz="0" w:space="0" w:color="auto"/>
      </w:divBdr>
    </w:div>
    <w:div w:id="684601192">
      <w:bodyDiv w:val="1"/>
      <w:marLeft w:val="0"/>
      <w:marRight w:val="0"/>
      <w:marTop w:val="0"/>
      <w:marBottom w:val="0"/>
      <w:divBdr>
        <w:top w:val="none" w:sz="0" w:space="0" w:color="auto"/>
        <w:left w:val="none" w:sz="0" w:space="0" w:color="auto"/>
        <w:bottom w:val="none" w:sz="0" w:space="0" w:color="auto"/>
        <w:right w:val="none" w:sz="0" w:space="0" w:color="auto"/>
      </w:divBdr>
    </w:div>
    <w:div w:id="694160632">
      <w:bodyDiv w:val="1"/>
      <w:marLeft w:val="0"/>
      <w:marRight w:val="0"/>
      <w:marTop w:val="0"/>
      <w:marBottom w:val="0"/>
      <w:divBdr>
        <w:top w:val="none" w:sz="0" w:space="0" w:color="auto"/>
        <w:left w:val="none" w:sz="0" w:space="0" w:color="auto"/>
        <w:bottom w:val="none" w:sz="0" w:space="0" w:color="auto"/>
        <w:right w:val="none" w:sz="0" w:space="0" w:color="auto"/>
      </w:divBdr>
    </w:div>
    <w:div w:id="708189566">
      <w:bodyDiv w:val="1"/>
      <w:marLeft w:val="0"/>
      <w:marRight w:val="0"/>
      <w:marTop w:val="0"/>
      <w:marBottom w:val="0"/>
      <w:divBdr>
        <w:top w:val="none" w:sz="0" w:space="0" w:color="auto"/>
        <w:left w:val="none" w:sz="0" w:space="0" w:color="auto"/>
        <w:bottom w:val="none" w:sz="0" w:space="0" w:color="auto"/>
        <w:right w:val="none" w:sz="0" w:space="0" w:color="auto"/>
      </w:divBdr>
    </w:div>
    <w:div w:id="728650330">
      <w:bodyDiv w:val="1"/>
      <w:marLeft w:val="0"/>
      <w:marRight w:val="0"/>
      <w:marTop w:val="0"/>
      <w:marBottom w:val="0"/>
      <w:divBdr>
        <w:top w:val="none" w:sz="0" w:space="0" w:color="auto"/>
        <w:left w:val="none" w:sz="0" w:space="0" w:color="auto"/>
        <w:bottom w:val="none" w:sz="0" w:space="0" w:color="auto"/>
        <w:right w:val="none" w:sz="0" w:space="0" w:color="auto"/>
      </w:divBdr>
    </w:div>
    <w:div w:id="730155592">
      <w:bodyDiv w:val="1"/>
      <w:marLeft w:val="0"/>
      <w:marRight w:val="0"/>
      <w:marTop w:val="0"/>
      <w:marBottom w:val="0"/>
      <w:divBdr>
        <w:top w:val="none" w:sz="0" w:space="0" w:color="auto"/>
        <w:left w:val="none" w:sz="0" w:space="0" w:color="auto"/>
        <w:bottom w:val="none" w:sz="0" w:space="0" w:color="auto"/>
        <w:right w:val="none" w:sz="0" w:space="0" w:color="auto"/>
      </w:divBdr>
    </w:div>
    <w:div w:id="735780949">
      <w:bodyDiv w:val="1"/>
      <w:marLeft w:val="0"/>
      <w:marRight w:val="0"/>
      <w:marTop w:val="0"/>
      <w:marBottom w:val="0"/>
      <w:divBdr>
        <w:top w:val="none" w:sz="0" w:space="0" w:color="auto"/>
        <w:left w:val="none" w:sz="0" w:space="0" w:color="auto"/>
        <w:bottom w:val="none" w:sz="0" w:space="0" w:color="auto"/>
        <w:right w:val="none" w:sz="0" w:space="0" w:color="auto"/>
      </w:divBdr>
    </w:div>
    <w:div w:id="737049573">
      <w:bodyDiv w:val="1"/>
      <w:marLeft w:val="0"/>
      <w:marRight w:val="0"/>
      <w:marTop w:val="0"/>
      <w:marBottom w:val="0"/>
      <w:divBdr>
        <w:top w:val="none" w:sz="0" w:space="0" w:color="auto"/>
        <w:left w:val="none" w:sz="0" w:space="0" w:color="auto"/>
        <w:bottom w:val="none" w:sz="0" w:space="0" w:color="auto"/>
        <w:right w:val="none" w:sz="0" w:space="0" w:color="auto"/>
      </w:divBdr>
    </w:div>
    <w:div w:id="737561215">
      <w:bodyDiv w:val="1"/>
      <w:marLeft w:val="0"/>
      <w:marRight w:val="0"/>
      <w:marTop w:val="0"/>
      <w:marBottom w:val="0"/>
      <w:divBdr>
        <w:top w:val="none" w:sz="0" w:space="0" w:color="auto"/>
        <w:left w:val="none" w:sz="0" w:space="0" w:color="auto"/>
        <w:bottom w:val="none" w:sz="0" w:space="0" w:color="auto"/>
        <w:right w:val="none" w:sz="0" w:space="0" w:color="auto"/>
      </w:divBdr>
    </w:div>
    <w:div w:id="739595336">
      <w:bodyDiv w:val="1"/>
      <w:marLeft w:val="0"/>
      <w:marRight w:val="0"/>
      <w:marTop w:val="0"/>
      <w:marBottom w:val="0"/>
      <w:divBdr>
        <w:top w:val="none" w:sz="0" w:space="0" w:color="auto"/>
        <w:left w:val="none" w:sz="0" w:space="0" w:color="auto"/>
        <w:bottom w:val="none" w:sz="0" w:space="0" w:color="auto"/>
        <w:right w:val="none" w:sz="0" w:space="0" w:color="auto"/>
      </w:divBdr>
    </w:div>
    <w:div w:id="740836269">
      <w:bodyDiv w:val="1"/>
      <w:marLeft w:val="0"/>
      <w:marRight w:val="0"/>
      <w:marTop w:val="0"/>
      <w:marBottom w:val="0"/>
      <w:divBdr>
        <w:top w:val="none" w:sz="0" w:space="0" w:color="auto"/>
        <w:left w:val="none" w:sz="0" w:space="0" w:color="auto"/>
        <w:bottom w:val="none" w:sz="0" w:space="0" w:color="auto"/>
        <w:right w:val="none" w:sz="0" w:space="0" w:color="auto"/>
      </w:divBdr>
    </w:div>
    <w:div w:id="747967293">
      <w:bodyDiv w:val="1"/>
      <w:marLeft w:val="0"/>
      <w:marRight w:val="0"/>
      <w:marTop w:val="0"/>
      <w:marBottom w:val="0"/>
      <w:divBdr>
        <w:top w:val="none" w:sz="0" w:space="0" w:color="auto"/>
        <w:left w:val="none" w:sz="0" w:space="0" w:color="auto"/>
        <w:bottom w:val="none" w:sz="0" w:space="0" w:color="auto"/>
        <w:right w:val="none" w:sz="0" w:space="0" w:color="auto"/>
      </w:divBdr>
    </w:div>
    <w:div w:id="753892727">
      <w:bodyDiv w:val="1"/>
      <w:marLeft w:val="0"/>
      <w:marRight w:val="0"/>
      <w:marTop w:val="0"/>
      <w:marBottom w:val="0"/>
      <w:divBdr>
        <w:top w:val="none" w:sz="0" w:space="0" w:color="auto"/>
        <w:left w:val="none" w:sz="0" w:space="0" w:color="auto"/>
        <w:bottom w:val="none" w:sz="0" w:space="0" w:color="auto"/>
        <w:right w:val="none" w:sz="0" w:space="0" w:color="auto"/>
      </w:divBdr>
    </w:div>
    <w:div w:id="761998019">
      <w:bodyDiv w:val="1"/>
      <w:marLeft w:val="0"/>
      <w:marRight w:val="0"/>
      <w:marTop w:val="0"/>
      <w:marBottom w:val="0"/>
      <w:divBdr>
        <w:top w:val="none" w:sz="0" w:space="0" w:color="auto"/>
        <w:left w:val="none" w:sz="0" w:space="0" w:color="auto"/>
        <w:bottom w:val="none" w:sz="0" w:space="0" w:color="auto"/>
        <w:right w:val="none" w:sz="0" w:space="0" w:color="auto"/>
      </w:divBdr>
    </w:div>
    <w:div w:id="762722210">
      <w:bodyDiv w:val="1"/>
      <w:marLeft w:val="0"/>
      <w:marRight w:val="0"/>
      <w:marTop w:val="0"/>
      <w:marBottom w:val="0"/>
      <w:divBdr>
        <w:top w:val="none" w:sz="0" w:space="0" w:color="auto"/>
        <w:left w:val="none" w:sz="0" w:space="0" w:color="auto"/>
        <w:bottom w:val="none" w:sz="0" w:space="0" w:color="auto"/>
        <w:right w:val="none" w:sz="0" w:space="0" w:color="auto"/>
      </w:divBdr>
    </w:div>
    <w:div w:id="764035627">
      <w:bodyDiv w:val="1"/>
      <w:marLeft w:val="0"/>
      <w:marRight w:val="0"/>
      <w:marTop w:val="0"/>
      <w:marBottom w:val="0"/>
      <w:divBdr>
        <w:top w:val="none" w:sz="0" w:space="0" w:color="auto"/>
        <w:left w:val="none" w:sz="0" w:space="0" w:color="auto"/>
        <w:bottom w:val="none" w:sz="0" w:space="0" w:color="auto"/>
        <w:right w:val="none" w:sz="0" w:space="0" w:color="auto"/>
      </w:divBdr>
    </w:div>
    <w:div w:id="766196959">
      <w:bodyDiv w:val="1"/>
      <w:marLeft w:val="0"/>
      <w:marRight w:val="0"/>
      <w:marTop w:val="0"/>
      <w:marBottom w:val="0"/>
      <w:divBdr>
        <w:top w:val="none" w:sz="0" w:space="0" w:color="auto"/>
        <w:left w:val="none" w:sz="0" w:space="0" w:color="auto"/>
        <w:bottom w:val="none" w:sz="0" w:space="0" w:color="auto"/>
        <w:right w:val="none" w:sz="0" w:space="0" w:color="auto"/>
      </w:divBdr>
    </w:div>
    <w:div w:id="770516402">
      <w:bodyDiv w:val="1"/>
      <w:marLeft w:val="0"/>
      <w:marRight w:val="0"/>
      <w:marTop w:val="0"/>
      <w:marBottom w:val="0"/>
      <w:divBdr>
        <w:top w:val="none" w:sz="0" w:space="0" w:color="auto"/>
        <w:left w:val="none" w:sz="0" w:space="0" w:color="auto"/>
        <w:bottom w:val="none" w:sz="0" w:space="0" w:color="auto"/>
        <w:right w:val="none" w:sz="0" w:space="0" w:color="auto"/>
      </w:divBdr>
    </w:div>
    <w:div w:id="773981963">
      <w:bodyDiv w:val="1"/>
      <w:marLeft w:val="0"/>
      <w:marRight w:val="0"/>
      <w:marTop w:val="0"/>
      <w:marBottom w:val="0"/>
      <w:divBdr>
        <w:top w:val="none" w:sz="0" w:space="0" w:color="auto"/>
        <w:left w:val="none" w:sz="0" w:space="0" w:color="auto"/>
        <w:bottom w:val="none" w:sz="0" w:space="0" w:color="auto"/>
        <w:right w:val="none" w:sz="0" w:space="0" w:color="auto"/>
      </w:divBdr>
    </w:div>
    <w:div w:id="779909104">
      <w:bodyDiv w:val="1"/>
      <w:marLeft w:val="0"/>
      <w:marRight w:val="0"/>
      <w:marTop w:val="0"/>
      <w:marBottom w:val="0"/>
      <w:divBdr>
        <w:top w:val="none" w:sz="0" w:space="0" w:color="auto"/>
        <w:left w:val="none" w:sz="0" w:space="0" w:color="auto"/>
        <w:bottom w:val="none" w:sz="0" w:space="0" w:color="auto"/>
        <w:right w:val="none" w:sz="0" w:space="0" w:color="auto"/>
      </w:divBdr>
    </w:div>
    <w:div w:id="785081524">
      <w:bodyDiv w:val="1"/>
      <w:marLeft w:val="0"/>
      <w:marRight w:val="0"/>
      <w:marTop w:val="0"/>
      <w:marBottom w:val="0"/>
      <w:divBdr>
        <w:top w:val="none" w:sz="0" w:space="0" w:color="auto"/>
        <w:left w:val="none" w:sz="0" w:space="0" w:color="auto"/>
        <w:bottom w:val="none" w:sz="0" w:space="0" w:color="auto"/>
        <w:right w:val="none" w:sz="0" w:space="0" w:color="auto"/>
      </w:divBdr>
    </w:div>
    <w:div w:id="786504880">
      <w:bodyDiv w:val="1"/>
      <w:marLeft w:val="0"/>
      <w:marRight w:val="0"/>
      <w:marTop w:val="0"/>
      <w:marBottom w:val="0"/>
      <w:divBdr>
        <w:top w:val="none" w:sz="0" w:space="0" w:color="auto"/>
        <w:left w:val="none" w:sz="0" w:space="0" w:color="auto"/>
        <w:bottom w:val="none" w:sz="0" w:space="0" w:color="auto"/>
        <w:right w:val="none" w:sz="0" w:space="0" w:color="auto"/>
      </w:divBdr>
    </w:div>
    <w:div w:id="794131795">
      <w:bodyDiv w:val="1"/>
      <w:marLeft w:val="0"/>
      <w:marRight w:val="0"/>
      <w:marTop w:val="0"/>
      <w:marBottom w:val="0"/>
      <w:divBdr>
        <w:top w:val="none" w:sz="0" w:space="0" w:color="auto"/>
        <w:left w:val="none" w:sz="0" w:space="0" w:color="auto"/>
        <w:bottom w:val="none" w:sz="0" w:space="0" w:color="auto"/>
        <w:right w:val="none" w:sz="0" w:space="0" w:color="auto"/>
      </w:divBdr>
    </w:div>
    <w:div w:id="797068063">
      <w:bodyDiv w:val="1"/>
      <w:marLeft w:val="0"/>
      <w:marRight w:val="0"/>
      <w:marTop w:val="0"/>
      <w:marBottom w:val="0"/>
      <w:divBdr>
        <w:top w:val="none" w:sz="0" w:space="0" w:color="auto"/>
        <w:left w:val="none" w:sz="0" w:space="0" w:color="auto"/>
        <w:bottom w:val="none" w:sz="0" w:space="0" w:color="auto"/>
        <w:right w:val="none" w:sz="0" w:space="0" w:color="auto"/>
      </w:divBdr>
    </w:div>
    <w:div w:id="800152054">
      <w:bodyDiv w:val="1"/>
      <w:marLeft w:val="0"/>
      <w:marRight w:val="0"/>
      <w:marTop w:val="0"/>
      <w:marBottom w:val="0"/>
      <w:divBdr>
        <w:top w:val="none" w:sz="0" w:space="0" w:color="auto"/>
        <w:left w:val="none" w:sz="0" w:space="0" w:color="auto"/>
        <w:bottom w:val="none" w:sz="0" w:space="0" w:color="auto"/>
        <w:right w:val="none" w:sz="0" w:space="0" w:color="auto"/>
      </w:divBdr>
    </w:div>
    <w:div w:id="800617799">
      <w:bodyDiv w:val="1"/>
      <w:marLeft w:val="0"/>
      <w:marRight w:val="0"/>
      <w:marTop w:val="0"/>
      <w:marBottom w:val="0"/>
      <w:divBdr>
        <w:top w:val="none" w:sz="0" w:space="0" w:color="auto"/>
        <w:left w:val="none" w:sz="0" w:space="0" w:color="auto"/>
        <w:bottom w:val="none" w:sz="0" w:space="0" w:color="auto"/>
        <w:right w:val="none" w:sz="0" w:space="0" w:color="auto"/>
      </w:divBdr>
    </w:div>
    <w:div w:id="805897078">
      <w:bodyDiv w:val="1"/>
      <w:marLeft w:val="0"/>
      <w:marRight w:val="0"/>
      <w:marTop w:val="0"/>
      <w:marBottom w:val="0"/>
      <w:divBdr>
        <w:top w:val="none" w:sz="0" w:space="0" w:color="auto"/>
        <w:left w:val="none" w:sz="0" w:space="0" w:color="auto"/>
        <w:bottom w:val="none" w:sz="0" w:space="0" w:color="auto"/>
        <w:right w:val="none" w:sz="0" w:space="0" w:color="auto"/>
      </w:divBdr>
    </w:div>
    <w:div w:id="806163611">
      <w:bodyDiv w:val="1"/>
      <w:marLeft w:val="0"/>
      <w:marRight w:val="0"/>
      <w:marTop w:val="0"/>
      <w:marBottom w:val="0"/>
      <w:divBdr>
        <w:top w:val="none" w:sz="0" w:space="0" w:color="auto"/>
        <w:left w:val="none" w:sz="0" w:space="0" w:color="auto"/>
        <w:bottom w:val="none" w:sz="0" w:space="0" w:color="auto"/>
        <w:right w:val="none" w:sz="0" w:space="0" w:color="auto"/>
      </w:divBdr>
    </w:div>
    <w:div w:id="808935471">
      <w:bodyDiv w:val="1"/>
      <w:marLeft w:val="0"/>
      <w:marRight w:val="0"/>
      <w:marTop w:val="0"/>
      <w:marBottom w:val="0"/>
      <w:divBdr>
        <w:top w:val="none" w:sz="0" w:space="0" w:color="auto"/>
        <w:left w:val="none" w:sz="0" w:space="0" w:color="auto"/>
        <w:bottom w:val="none" w:sz="0" w:space="0" w:color="auto"/>
        <w:right w:val="none" w:sz="0" w:space="0" w:color="auto"/>
      </w:divBdr>
    </w:div>
    <w:div w:id="809900932">
      <w:bodyDiv w:val="1"/>
      <w:marLeft w:val="0"/>
      <w:marRight w:val="0"/>
      <w:marTop w:val="0"/>
      <w:marBottom w:val="0"/>
      <w:divBdr>
        <w:top w:val="none" w:sz="0" w:space="0" w:color="auto"/>
        <w:left w:val="none" w:sz="0" w:space="0" w:color="auto"/>
        <w:bottom w:val="none" w:sz="0" w:space="0" w:color="auto"/>
        <w:right w:val="none" w:sz="0" w:space="0" w:color="auto"/>
      </w:divBdr>
    </w:div>
    <w:div w:id="813645511">
      <w:bodyDiv w:val="1"/>
      <w:marLeft w:val="0"/>
      <w:marRight w:val="0"/>
      <w:marTop w:val="0"/>
      <w:marBottom w:val="0"/>
      <w:divBdr>
        <w:top w:val="none" w:sz="0" w:space="0" w:color="auto"/>
        <w:left w:val="none" w:sz="0" w:space="0" w:color="auto"/>
        <w:bottom w:val="none" w:sz="0" w:space="0" w:color="auto"/>
        <w:right w:val="none" w:sz="0" w:space="0" w:color="auto"/>
      </w:divBdr>
    </w:div>
    <w:div w:id="815145919">
      <w:bodyDiv w:val="1"/>
      <w:marLeft w:val="0"/>
      <w:marRight w:val="0"/>
      <w:marTop w:val="0"/>
      <w:marBottom w:val="0"/>
      <w:divBdr>
        <w:top w:val="none" w:sz="0" w:space="0" w:color="auto"/>
        <w:left w:val="none" w:sz="0" w:space="0" w:color="auto"/>
        <w:bottom w:val="none" w:sz="0" w:space="0" w:color="auto"/>
        <w:right w:val="none" w:sz="0" w:space="0" w:color="auto"/>
      </w:divBdr>
    </w:div>
    <w:div w:id="816604220">
      <w:bodyDiv w:val="1"/>
      <w:marLeft w:val="0"/>
      <w:marRight w:val="0"/>
      <w:marTop w:val="0"/>
      <w:marBottom w:val="0"/>
      <w:divBdr>
        <w:top w:val="none" w:sz="0" w:space="0" w:color="auto"/>
        <w:left w:val="none" w:sz="0" w:space="0" w:color="auto"/>
        <w:bottom w:val="none" w:sz="0" w:space="0" w:color="auto"/>
        <w:right w:val="none" w:sz="0" w:space="0" w:color="auto"/>
      </w:divBdr>
    </w:div>
    <w:div w:id="824585815">
      <w:bodyDiv w:val="1"/>
      <w:marLeft w:val="0"/>
      <w:marRight w:val="0"/>
      <w:marTop w:val="0"/>
      <w:marBottom w:val="0"/>
      <w:divBdr>
        <w:top w:val="none" w:sz="0" w:space="0" w:color="auto"/>
        <w:left w:val="none" w:sz="0" w:space="0" w:color="auto"/>
        <w:bottom w:val="none" w:sz="0" w:space="0" w:color="auto"/>
        <w:right w:val="none" w:sz="0" w:space="0" w:color="auto"/>
      </w:divBdr>
    </w:div>
    <w:div w:id="830750590">
      <w:bodyDiv w:val="1"/>
      <w:marLeft w:val="0"/>
      <w:marRight w:val="0"/>
      <w:marTop w:val="0"/>
      <w:marBottom w:val="0"/>
      <w:divBdr>
        <w:top w:val="none" w:sz="0" w:space="0" w:color="auto"/>
        <w:left w:val="none" w:sz="0" w:space="0" w:color="auto"/>
        <w:bottom w:val="none" w:sz="0" w:space="0" w:color="auto"/>
        <w:right w:val="none" w:sz="0" w:space="0" w:color="auto"/>
      </w:divBdr>
    </w:div>
    <w:div w:id="833572200">
      <w:bodyDiv w:val="1"/>
      <w:marLeft w:val="0"/>
      <w:marRight w:val="0"/>
      <w:marTop w:val="0"/>
      <w:marBottom w:val="0"/>
      <w:divBdr>
        <w:top w:val="none" w:sz="0" w:space="0" w:color="auto"/>
        <w:left w:val="none" w:sz="0" w:space="0" w:color="auto"/>
        <w:bottom w:val="none" w:sz="0" w:space="0" w:color="auto"/>
        <w:right w:val="none" w:sz="0" w:space="0" w:color="auto"/>
      </w:divBdr>
    </w:div>
    <w:div w:id="835195434">
      <w:bodyDiv w:val="1"/>
      <w:marLeft w:val="0"/>
      <w:marRight w:val="0"/>
      <w:marTop w:val="0"/>
      <w:marBottom w:val="0"/>
      <w:divBdr>
        <w:top w:val="none" w:sz="0" w:space="0" w:color="auto"/>
        <w:left w:val="none" w:sz="0" w:space="0" w:color="auto"/>
        <w:bottom w:val="none" w:sz="0" w:space="0" w:color="auto"/>
        <w:right w:val="none" w:sz="0" w:space="0" w:color="auto"/>
      </w:divBdr>
    </w:div>
    <w:div w:id="835342406">
      <w:bodyDiv w:val="1"/>
      <w:marLeft w:val="0"/>
      <w:marRight w:val="0"/>
      <w:marTop w:val="0"/>
      <w:marBottom w:val="0"/>
      <w:divBdr>
        <w:top w:val="none" w:sz="0" w:space="0" w:color="auto"/>
        <w:left w:val="none" w:sz="0" w:space="0" w:color="auto"/>
        <w:bottom w:val="none" w:sz="0" w:space="0" w:color="auto"/>
        <w:right w:val="none" w:sz="0" w:space="0" w:color="auto"/>
      </w:divBdr>
    </w:div>
    <w:div w:id="837504219">
      <w:bodyDiv w:val="1"/>
      <w:marLeft w:val="0"/>
      <w:marRight w:val="0"/>
      <w:marTop w:val="0"/>
      <w:marBottom w:val="0"/>
      <w:divBdr>
        <w:top w:val="none" w:sz="0" w:space="0" w:color="auto"/>
        <w:left w:val="none" w:sz="0" w:space="0" w:color="auto"/>
        <w:bottom w:val="none" w:sz="0" w:space="0" w:color="auto"/>
        <w:right w:val="none" w:sz="0" w:space="0" w:color="auto"/>
      </w:divBdr>
    </w:div>
    <w:div w:id="839927929">
      <w:bodyDiv w:val="1"/>
      <w:marLeft w:val="0"/>
      <w:marRight w:val="0"/>
      <w:marTop w:val="0"/>
      <w:marBottom w:val="0"/>
      <w:divBdr>
        <w:top w:val="none" w:sz="0" w:space="0" w:color="auto"/>
        <w:left w:val="none" w:sz="0" w:space="0" w:color="auto"/>
        <w:bottom w:val="none" w:sz="0" w:space="0" w:color="auto"/>
        <w:right w:val="none" w:sz="0" w:space="0" w:color="auto"/>
      </w:divBdr>
    </w:div>
    <w:div w:id="842742998">
      <w:bodyDiv w:val="1"/>
      <w:marLeft w:val="0"/>
      <w:marRight w:val="0"/>
      <w:marTop w:val="0"/>
      <w:marBottom w:val="0"/>
      <w:divBdr>
        <w:top w:val="none" w:sz="0" w:space="0" w:color="auto"/>
        <w:left w:val="none" w:sz="0" w:space="0" w:color="auto"/>
        <w:bottom w:val="none" w:sz="0" w:space="0" w:color="auto"/>
        <w:right w:val="none" w:sz="0" w:space="0" w:color="auto"/>
      </w:divBdr>
    </w:div>
    <w:div w:id="848983227">
      <w:bodyDiv w:val="1"/>
      <w:marLeft w:val="0"/>
      <w:marRight w:val="0"/>
      <w:marTop w:val="0"/>
      <w:marBottom w:val="0"/>
      <w:divBdr>
        <w:top w:val="none" w:sz="0" w:space="0" w:color="auto"/>
        <w:left w:val="none" w:sz="0" w:space="0" w:color="auto"/>
        <w:bottom w:val="none" w:sz="0" w:space="0" w:color="auto"/>
        <w:right w:val="none" w:sz="0" w:space="0" w:color="auto"/>
      </w:divBdr>
    </w:div>
    <w:div w:id="849949291">
      <w:bodyDiv w:val="1"/>
      <w:marLeft w:val="0"/>
      <w:marRight w:val="0"/>
      <w:marTop w:val="0"/>
      <w:marBottom w:val="0"/>
      <w:divBdr>
        <w:top w:val="none" w:sz="0" w:space="0" w:color="auto"/>
        <w:left w:val="none" w:sz="0" w:space="0" w:color="auto"/>
        <w:bottom w:val="none" w:sz="0" w:space="0" w:color="auto"/>
        <w:right w:val="none" w:sz="0" w:space="0" w:color="auto"/>
      </w:divBdr>
    </w:div>
    <w:div w:id="852720870">
      <w:bodyDiv w:val="1"/>
      <w:marLeft w:val="0"/>
      <w:marRight w:val="0"/>
      <w:marTop w:val="0"/>
      <w:marBottom w:val="0"/>
      <w:divBdr>
        <w:top w:val="none" w:sz="0" w:space="0" w:color="auto"/>
        <w:left w:val="none" w:sz="0" w:space="0" w:color="auto"/>
        <w:bottom w:val="none" w:sz="0" w:space="0" w:color="auto"/>
        <w:right w:val="none" w:sz="0" w:space="0" w:color="auto"/>
      </w:divBdr>
    </w:div>
    <w:div w:id="855004665">
      <w:bodyDiv w:val="1"/>
      <w:marLeft w:val="0"/>
      <w:marRight w:val="0"/>
      <w:marTop w:val="0"/>
      <w:marBottom w:val="0"/>
      <w:divBdr>
        <w:top w:val="none" w:sz="0" w:space="0" w:color="auto"/>
        <w:left w:val="none" w:sz="0" w:space="0" w:color="auto"/>
        <w:bottom w:val="none" w:sz="0" w:space="0" w:color="auto"/>
        <w:right w:val="none" w:sz="0" w:space="0" w:color="auto"/>
      </w:divBdr>
    </w:div>
    <w:div w:id="855507541">
      <w:bodyDiv w:val="1"/>
      <w:marLeft w:val="0"/>
      <w:marRight w:val="0"/>
      <w:marTop w:val="0"/>
      <w:marBottom w:val="0"/>
      <w:divBdr>
        <w:top w:val="none" w:sz="0" w:space="0" w:color="auto"/>
        <w:left w:val="none" w:sz="0" w:space="0" w:color="auto"/>
        <w:bottom w:val="none" w:sz="0" w:space="0" w:color="auto"/>
        <w:right w:val="none" w:sz="0" w:space="0" w:color="auto"/>
      </w:divBdr>
    </w:div>
    <w:div w:id="857430935">
      <w:bodyDiv w:val="1"/>
      <w:marLeft w:val="0"/>
      <w:marRight w:val="0"/>
      <w:marTop w:val="0"/>
      <w:marBottom w:val="0"/>
      <w:divBdr>
        <w:top w:val="none" w:sz="0" w:space="0" w:color="auto"/>
        <w:left w:val="none" w:sz="0" w:space="0" w:color="auto"/>
        <w:bottom w:val="none" w:sz="0" w:space="0" w:color="auto"/>
        <w:right w:val="none" w:sz="0" w:space="0" w:color="auto"/>
      </w:divBdr>
    </w:div>
    <w:div w:id="858736582">
      <w:bodyDiv w:val="1"/>
      <w:marLeft w:val="0"/>
      <w:marRight w:val="0"/>
      <w:marTop w:val="0"/>
      <w:marBottom w:val="0"/>
      <w:divBdr>
        <w:top w:val="none" w:sz="0" w:space="0" w:color="auto"/>
        <w:left w:val="none" w:sz="0" w:space="0" w:color="auto"/>
        <w:bottom w:val="none" w:sz="0" w:space="0" w:color="auto"/>
        <w:right w:val="none" w:sz="0" w:space="0" w:color="auto"/>
      </w:divBdr>
    </w:div>
    <w:div w:id="861750957">
      <w:bodyDiv w:val="1"/>
      <w:marLeft w:val="0"/>
      <w:marRight w:val="0"/>
      <w:marTop w:val="0"/>
      <w:marBottom w:val="0"/>
      <w:divBdr>
        <w:top w:val="none" w:sz="0" w:space="0" w:color="auto"/>
        <w:left w:val="none" w:sz="0" w:space="0" w:color="auto"/>
        <w:bottom w:val="none" w:sz="0" w:space="0" w:color="auto"/>
        <w:right w:val="none" w:sz="0" w:space="0" w:color="auto"/>
      </w:divBdr>
    </w:div>
    <w:div w:id="864752184">
      <w:bodyDiv w:val="1"/>
      <w:marLeft w:val="0"/>
      <w:marRight w:val="0"/>
      <w:marTop w:val="0"/>
      <w:marBottom w:val="0"/>
      <w:divBdr>
        <w:top w:val="none" w:sz="0" w:space="0" w:color="auto"/>
        <w:left w:val="none" w:sz="0" w:space="0" w:color="auto"/>
        <w:bottom w:val="none" w:sz="0" w:space="0" w:color="auto"/>
        <w:right w:val="none" w:sz="0" w:space="0" w:color="auto"/>
      </w:divBdr>
    </w:div>
    <w:div w:id="868645388">
      <w:bodyDiv w:val="1"/>
      <w:marLeft w:val="0"/>
      <w:marRight w:val="0"/>
      <w:marTop w:val="0"/>
      <w:marBottom w:val="0"/>
      <w:divBdr>
        <w:top w:val="none" w:sz="0" w:space="0" w:color="auto"/>
        <w:left w:val="none" w:sz="0" w:space="0" w:color="auto"/>
        <w:bottom w:val="none" w:sz="0" w:space="0" w:color="auto"/>
        <w:right w:val="none" w:sz="0" w:space="0" w:color="auto"/>
      </w:divBdr>
    </w:div>
    <w:div w:id="872613301">
      <w:bodyDiv w:val="1"/>
      <w:marLeft w:val="0"/>
      <w:marRight w:val="0"/>
      <w:marTop w:val="0"/>
      <w:marBottom w:val="0"/>
      <w:divBdr>
        <w:top w:val="none" w:sz="0" w:space="0" w:color="auto"/>
        <w:left w:val="none" w:sz="0" w:space="0" w:color="auto"/>
        <w:bottom w:val="none" w:sz="0" w:space="0" w:color="auto"/>
        <w:right w:val="none" w:sz="0" w:space="0" w:color="auto"/>
      </w:divBdr>
    </w:div>
    <w:div w:id="891623189">
      <w:bodyDiv w:val="1"/>
      <w:marLeft w:val="0"/>
      <w:marRight w:val="0"/>
      <w:marTop w:val="0"/>
      <w:marBottom w:val="0"/>
      <w:divBdr>
        <w:top w:val="none" w:sz="0" w:space="0" w:color="auto"/>
        <w:left w:val="none" w:sz="0" w:space="0" w:color="auto"/>
        <w:bottom w:val="none" w:sz="0" w:space="0" w:color="auto"/>
        <w:right w:val="none" w:sz="0" w:space="0" w:color="auto"/>
      </w:divBdr>
    </w:div>
    <w:div w:id="904100072">
      <w:bodyDiv w:val="1"/>
      <w:marLeft w:val="0"/>
      <w:marRight w:val="0"/>
      <w:marTop w:val="0"/>
      <w:marBottom w:val="0"/>
      <w:divBdr>
        <w:top w:val="none" w:sz="0" w:space="0" w:color="auto"/>
        <w:left w:val="none" w:sz="0" w:space="0" w:color="auto"/>
        <w:bottom w:val="none" w:sz="0" w:space="0" w:color="auto"/>
        <w:right w:val="none" w:sz="0" w:space="0" w:color="auto"/>
      </w:divBdr>
    </w:div>
    <w:div w:id="918827222">
      <w:bodyDiv w:val="1"/>
      <w:marLeft w:val="0"/>
      <w:marRight w:val="0"/>
      <w:marTop w:val="0"/>
      <w:marBottom w:val="0"/>
      <w:divBdr>
        <w:top w:val="none" w:sz="0" w:space="0" w:color="auto"/>
        <w:left w:val="none" w:sz="0" w:space="0" w:color="auto"/>
        <w:bottom w:val="none" w:sz="0" w:space="0" w:color="auto"/>
        <w:right w:val="none" w:sz="0" w:space="0" w:color="auto"/>
      </w:divBdr>
    </w:div>
    <w:div w:id="924193585">
      <w:bodyDiv w:val="1"/>
      <w:marLeft w:val="0"/>
      <w:marRight w:val="0"/>
      <w:marTop w:val="0"/>
      <w:marBottom w:val="0"/>
      <w:divBdr>
        <w:top w:val="none" w:sz="0" w:space="0" w:color="auto"/>
        <w:left w:val="none" w:sz="0" w:space="0" w:color="auto"/>
        <w:bottom w:val="none" w:sz="0" w:space="0" w:color="auto"/>
        <w:right w:val="none" w:sz="0" w:space="0" w:color="auto"/>
      </w:divBdr>
    </w:div>
    <w:div w:id="925966737">
      <w:bodyDiv w:val="1"/>
      <w:marLeft w:val="0"/>
      <w:marRight w:val="0"/>
      <w:marTop w:val="0"/>
      <w:marBottom w:val="0"/>
      <w:divBdr>
        <w:top w:val="none" w:sz="0" w:space="0" w:color="auto"/>
        <w:left w:val="none" w:sz="0" w:space="0" w:color="auto"/>
        <w:bottom w:val="none" w:sz="0" w:space="0" w:color="auto"/>
        <w:right w:val="none" w:sz="0" w:space="0" w:color="auto"/>
      </w:divBdr>
    </w:div>
    <w:div w:id="928849709">
      <w:bodyDiv w:val="1"/>
      <w:marLeft w:val="0"/>
      <w:marRight w:val="0"/>
      <w:marTop w:val="0"/>
      <w:marBottom w:val="0"/>
      <w:divBdr>
        <w:top w:val="none" w:sz="0" w:space="0" w:color="auto"/>
        <w:left w:val="none" w:sz="0" w:space="0" w:color="auto"/>
        <w:bottom w:val="none" w:sz="0" w:space="0" w:color="auto"/>
        <w:right w:val="none" w:sz="0" w:space="0" w:color="auto"/>
      </w:divBdr>
    </w:div>
    <w:div w:id="933899255">
      <w:bodyDiv w:val="1"/>
      <w:marLeft w:val="0"/>
      <w:marRight w:val="0"/>
      <w:marTop w:val="0"/>
      <w:marBottom w:val="0"/>
      <w:divBdr>
        <w:top w:val="none" w:sz="0" w:space="0" w:color="auto"/>
        <w:left w:val="none" w:sz="0" w:space="0" w:color="auto"/>
        <w:bottom w:val="none" w:sz="0" w:space="0" w:color="auto"/>
        <w:right w:val="none" w:sz="0" w:space="0" w:color="auto"/>
      </w:divBdr>
    </w:div>
    <w:div w:id="934824014">
      <w:bodyDiv w:val="1"/>
      <w:marLeft w:val="0"/>
      <w:marRight w:val="0"/>
      <w:marTop w:val="0"/>
      <w:marBottom w:val="0"/>
      <w:divBdr>
        <w:top w:val="none" w:sz="0" w:space="0" w:color="auto"/>
        <w:left w:val="none" w:sz="0" w:space="0" w:color="auto"/>
        <w:bottom w:val="none" w:sz="0" w:space="0" w:color="auto"/>
        <w:right w:val="none" w:sz="0" w:space="0" w:color="auto"/>
      </w:divBdr>
    </w:div>
    <w:div w:id="938413174">
      <w:bodyDiv w:val="1"/>
      <w:marLeft w:val="0"/>
      <w:marRight w:val="0"/>
      <w:marTop w:val="0"/>
      <w:marBottom w:val="0"/>
      <w:divBdr>
        <w:top w:val="none" w:sz="0" w:space="0" w:color="auto"/>
        <w:left w:val="none" w:sz="0" w:space="0" w:color="auto"/>
        <w:bottom w:val="none" w:sz="0" w:space="0" w:color="auto"/>
        <w:right w:val="none" w:sz="0" w:space="0" w:color="auto"/>
      </w:divBdr>
    </w:div>
    <w:div w:id="944389611">
      <w:bodyDiv w:val="1"/>
      <w:marLeft w:val="0"/>
      <w:marRight w:val="0"/>
      <w:marTop w:val="0"/>
      <w:marBottom w:val="0"/>
      <w:divBdr>
        <w:top w:val="none" w:sz="0" w:space="0" w:color="auto"/>
        <w:left w:val="none" w:sz="0" w:space="0" w:color="auto"/>
        <w:bottom w:val="none" w:sz="0" w:space="0" w:color="auto"/>
        <w:right w:val="none" w:sz="0" w:space="0" w:color="auto"/>
      </w:divBdr>
    </w:div>
    <w:div w:id="951858569">
      <w:bodyDiv w:val="1"/>
      <w:marLeft w:val="0"/>
      <w:marRight w:val="0"/>
      <w:marTop w:val="0"/>
      <w:marBottom w:val="0"/>
      <w:divBdr>
        <w:top w:val="none" w:sz="0" w:space="0" w:color="auto"/>
        <w:left w:val="none" w:sz="0" w:space="0" w:color="auto"/>
        <w:bottom w:val="none" w:sz="0" w:space="0" w:color="auto"/>
        <w:right w:val="none" w:sz="0" w:space="0" w:color="auto"/>
      </w:divBdr>
    </w:div>
    <w:div w:id="953830577">
      <w:bodyDiv w:val="1"/>
      <w:marLeft w:val="0"/>
      <w:marRight w:val="0"/>
      <w:marTop w:val="0"/>
      <w:marBottom w:val="0"/>
      <w:divBdr>
        <w:top w:val="none" w:sz="0" w:space="0" w:color="auto"/>
        <w:left w:val="none" w:sz="0" w:space="0" w:color="auto"/>
        <w:bottom w:val="none" w:sz="0" w:space="0" w:color="auto"/>
        <w:right w:val="none" w:sz="0" w:space="0" w:color="auto"/>
      </w:divBdr>
    </w:div>
    <w:div w:id="954944663">
      <w:bodyDiv w:val="1"/>
      <w:marLeft w:val="0"/>
      <w:marRight w:val="0"/>
      <w:marTop w:val="0"/>
      <w:marBottom w:val="0"/>
      <w:divBdr>
        <w:top w:val="none" w:sz="0" w:space="0" w:color="auto"/>
        <w:left w:val="none" w:sz="0" w:space="0" w:color="auto"/>
        <w:bottom w:val="none" w:sz="0" w:space="0" w:color="auto"/>
        <w:right w:val="none" w:sz="0" w:space="0" w:color="auto"/>
      </w:divBdr>
    </w:div>
    <w:div w:id="956062414">
      <w:bodyDiv w:val="1"/>
      <w:marLeft w:val="0"/>
      <w:marRight w:val="0"/>
      <w:marTop w:val="0"/>
      <w:marBottom w:val="0"/>
      <w:divBdr>
        <w:top w:val="none" w:sz="0" w:space="0" w:color="auto"/>
        <w:left w:val="none" w:sz="0" w:space="0" w:color="auto"/>
        <w:bottom w:val="none" w:sz="0" w:space="0" w:color="auto"/>
        <w:right w:val="none" w:sz="0" w:space="0" w:color="auto"/>
      </w:divBdr>
    </w:div>
    <w:div w:id="956137217">
      <w:bodyDiv w:val="1"/>
      <w:marLeft w:val="0"/>
      <w:marRight w:val="0"/>
      <w:marTop w:val="0"/>
      <w:marBottom w:val="0"/>
      <w:divBdr>
        <w:top w:val="none" w:sz="0" w:space="0" w:color="auto"/>
        <w:left w:val="none" w:sz="0" w:space="0" w:color="auto"/>
        <w:bottom w:val="none" w:sz="0" w:space="0" w:color="auto"/>
        <w:right w:val="none" w:sz="0" w:space="0" w:color="auto"/>
      </w:divBdr>
    </w:div>
    <w:div w:id="956523529">
      <w:bodyDiv w:val="1"/>
      <w:marLeft w:val="0"/>
      <w:marRight w:val="0"/>
      <w:marTop w:val="0"/>
      <w:marBottom w:val="0"/>
      <w:divBdr>
        <w:top w:val="none" w:sz="0" w:space="0" w:color="auto"/>
        <w:left w:val="none" w:sz="0" w:space="0" w:color="auto"/>
        <w:bottom w:val="none" w:sz="0" w:space="0" w:color="auto"/>
        <w:right w:val="none" w:sz="0" w:space="0" w:color="auto"/>
      </w:divBdr>
    </w:div>
    <w:div w:id="961151406">
      <w:bodyDiv w:val="1"/>
      <w:marLeft w:val="0"/>
      <w:marRight w:val="0"/>
      <w:marTop w:val="0"/>
      <w:marBottom w:val="0"/>
      <w:divBdr>
        <w:top w:val="none" w:sz="0" w:space="0" w:color="auto"/>
        <w:left w:val="none" w:sz="0" w:space="0" w:color="auto"/>
        <w:bottom w:val="none" w:sz="0" w:space="0" w:color="auto"/>
        <w:right w:val="none" w:sz="0" w:space="0" w:color="auto"/>
      </w:divBdr>
    </w:div>
    <w:div w:id="961182473">
      <w:bodyDiv w:val="1"/>
      <w:marLeft w:val="0"/>
      <w:marRight w:val="0"/>
      <w:marTop w:val="0"/>
      <w:marBottom w:val="0"/>
      <w:divBdr>
        <w:top w:val="none" w:sz="0" w:space="0" w:color="auto"/>
        <w:left w:val="none" w:sz="0" w:space="0" w:color="auto"/>
        <w:bottom w:val="none" w:sz="0" w:space="0" w:color="auto"/>
        <w:right w:val="none" w:sz="0" w:space="0" w:color="auto"/>
      </w:divBdr>
    </w:div>
    <w:div w:id="961837315">
      <w:bodyDiv w:val="1"/>
      <w:marLeft w:val="0"/>
      <w:marRight w:val="0"/>
      <w:marTop w:val="0"/>
      <w:marBottom w:val="0"/>
      <w:divBdr>
        <w:top w:val="none" w:sz="0" w:space="0" w:color="auto"/>
        <w:left w:val="none" w:sz="0" w:space="0" w:color="auto"/>
        <w:bottom w:val="none" w:sz="0" w:space="0" w:color="auto"/>
        <w:right w:val="none" w:sz="0" w:space="0" w:color="auto"/>
      </w:divBdr>
    </w:div>
    <w:div w:id="970092616">
      <w:bodyDiv w:val="1"/>
      <w:marLeft w:val="0"/>
      <w:marRight w:val="0"/>
      <w:marTop w:val="0"/>
      <w:marBottom w:val="0"/>
      <w:divBdr>
        <w:top w:val="none" w:sz="0" w:space="0" w:color="auto"/>
        <w:left w:val="none" w:sz="0" w:space="0" w:color="auto"/>
        <w:bottom w:val="none" w:sz="0" w:space="0" w:color="auto"/>
        <w:right w:val="none" w:sz="0" w:space="0" w:color="auto"/>
      </w:divBdr>
    </w:div>
    <w:div w:id="971863414">
      <w:bodyDiv w:val="1"/>
      <w:marLeft w:val="0"/>
      <w:marRight w:val="0"/>
      <w:marTop w:val="0"/>
      <w:marBottom w:val="0"/>
      <w:divBdr>
        <w:top w:val="none" w:sz="0" w:space="0" w:color="auto"/>
        <w:left w:val="none" w:sz="0" w:space="0" w:color="auto"/>
        <w:bottom w:val="none" w:sz="0" w:space="0" w:color="auto"/>
        <w:right w:val="none" w:sz="0" w:space="0" w:color="auto"/>
      </w:divBdr>
    </w:div>
    <w:div w:id="973293844">
      <w:bodyDiv w:val="1"/>
      <w:marLeft w:val="0"/>
      <w:marRight w:val="0"/>
      <w:marTop w:val="0"/>
      <w:marBottom w:val="0"/>
      <w:divBdr>
        <w:top w:val="none" w:sz="0" w:space="0" w:color="auto"/>
        <w:left w:val="none" w:sz="0" w:space="0" w:color="auto"/>
        <w:bottom w:val="none" w:sz="0" w:space="0" w:color="auto"/>
        <w:right w:val="none" w:sz="0" w:space="0" w:color="auto"/>
      </w:divBdr>
    </w:div>
    <w:div w:id="976573687">
      <w:bodyDiv w:val="1"/>
      <w:marLeft w:val="0"/>
      <w:marRight w:val="0"/>
      <w:marTop w:val="0"/>
      <w:marBottom w:val="0"/>
      <w:divBdr>
        <w:top w:val="none" w:sz="0" w:space="0" w:color="auto"/>
        <w:left w:val="none" w:sz="0" w:space="0" w:color="auto"/>
        <w:bottom w:val="none" w:sz="0" w:space="0" w:color="auto"/>
        <w:right w:val="none" w:sz="0" w:space="0" w:color="auto"/>
      </w:divBdr>
    </w:div>
    <w:div w:id="984427680">
      <w:bodyDiv w:val="1"/>
      <w:marLeft w:val="0"/>
      <w:marRight w:val="0"/>
      <w:marTop w:val="0"/>
      <w:marBottom w:val="0"/>
      <w:divBdr>
        <w:top w:val="none" w:sz="0" w:space="0" w:color="auto"/>
        <w:left w:val="none" w:sz="0" w:space="0" w:color="auto"/>
        <w:bottom w:val="none" w:sz="0" w:space="0" w:color="auto"/>
        <w:right w:val="none" w:sz="0" w:space="0" w:color="auto"/>
      </w:divBdr>
    </w:div>
    <w:div w:id="988824316">
      <w:bodyDiv w:val="1"/>
      <w:marLeft w:val="0"/>
      <w:marRight w:val="0"/>
      <w:marTop w:val="0"/>
      <w:marBottom w:val="0"/>
      <w:divBdr>
        <w:top w:val="none" w:sz="0" w:space="0" w:color="auto"/>
        <w:left w:val="none" w:sz="0" w:space="0" w:color="auto"/>
        <w:bottom w:val="none" w:sz="0" w:space="0" w:color="auto"/>
        <w:right w:val="none" w:sz="0" w:space="0" w:color="auto"/>
      </w:divBdr>
    </w:div>
    <w:div w:id="991906214">
      <w:bodyDiv w:val="1"/>
      <w:marLeft w:val="0"/>
      <w:marRight w:val="0"/>
      <w:marTop w:val="0"/>
      <w:marBottom w:val="0"/>
      <w:divBdr>
        <w:top w:val="none" w:sz="0" w:space="0" w:color="auto"/>
        <w:left w:val="none" w:sz="0" w:space="0" w:color="auto"/>
        <w:bottom w:val="none" w:sz="0" w:space="0" w:color="auto"/>
        <w:right w:val="none" w:sz="0" w:space="0" w:color="auto"/>
      </w:divBdr>
    </w:div>
    <w:div w:id="992490277">
      <w:bodyDiv w:val="1"/>
      <w:marLeft w:val="0"/>
      <w:marRight w:val="0"/>
      <w:marTop w:val="0"/>
      <w:marBottom w:val="0"/>
      <w:divBdr>
        <w:top w:val="none" w:sz="0" w:space="0" w:color="auto"/>
        <w:left w:val="none" w:sz="0" w:space="0" w:color="auto"/>
        <w:bottom w:val="none" w:sz="0" w:space="0" w:color="auto"/>
        <w:right w:val="none" w:sz="0" w:space="0" w:color="auto"/>
      </w:divBdr>
    </w:div>
    <w:div w:id="997072121">
      <w:bodyDiv w:val="1"/>
      <w:marLeft w:val="0"/>
      <w:marRight w:val="0"/>
      <w:marTop w:val="0"/>
      <w:marBottom w:val="0"/>
      <w:divBdr>
        <w:top w:val="none" w:sz="0" w:space="0" w:color="auto"/>
        <w:left w:val="none" w:sz="0" w:space="0" w:color="auto"/>
        <w:bottom w:val="none" w:sz="0" w:space="0" w:color="auto"/>
        <w:right w:val="none" w:sz="0" w:space="0" w:color="auto"/>
      </w:divBdr>
    </w:div>
    <w:div w:id="1007489410">
      <w:bodyDiv w:val="1"/>
      <w:marLeft w:val="0"/>
      <w:marRight w:val="0"/>
      <w:marTop w:val="0"/>
      <w:marBottom w:val="0"/>
      <w:divBdr>
        <w:top w:val="none" w:sz="0" w:space="0" w:color="auto"/>
        <w:left w:val="none" w:sz="0" w:space="0" w:color="auto"/>
        <w:bottom w:val="none" w:sz="0" w:space="0" w:color="auto"/>
        <w:right w:val="none" w:sz="0" w:space="0" w:color="auto"/>
      </w:divBdr>
    </w:div>
    <w:div w:id="1013536292">
      <w:bodyDiv w:val="1"/>
      <w:marLeft w:val="0"/>
      <w:marRight w:val="0"/>
      <w:marTop w:val="0"/>
      <w:marBottom w:val="0"/>
      <w:divBdr>
        <w:top w:val="none" w:sz="0" w:space="0" w:color="auto"/>
        <w:left w:val="none" w:sz="0" w:space="0" w:color="auto"/>
        <w:bottom w:val="none" w:sz="0" w:space="0" w:color="auto"/>
        <w:right w:val="none" w:sz="0" w:space="0" w:color="auto"/>
      </w:divBdr>
    </w:div>
    <w:div w:id="1014306615">
      <w:bodyDiv w:val="1"/>
      <w:marLeft w:val="0"/>
      <w:marRight w:val="0"/>
      <w:marTop w:val="0"/>
      <w:marBottom w:val="0"/>
      <w:divBdr>
        <w:top w:val="none" w:sz="0" w:space="0" w:color="auto"/>
        <w:left w:val="none" w:sz="0" w:space="0" w:color="auto"/>
        <w:bottom w:val="none" w:sz="0" w:space="0" w:color="auto"/>
        <w:right w:val="none" w:sz="0" w:space="0" w:color="auto"/>
      </w:divBdr>
    </w:div>
    <w:div w:id="1015153759">
      <w:bodyDiv w:val="1"/>
      <w:marLeft w:val="0"/>
      <w:marRight w:val="0"/>
      <w:marTop w:val="0"/>
      <w:marBottom w:val="0"/>
      <w:divBdr>
        <w:top w:val="none" w:sz="0" w:space="0" w:color="auto"/>
        <w:left w:val="none" w:sz="0" w:space="0" w:color="auto"/>
        <w:bottom w:val="none" w:sz="0" w:space="0" w:color="auto"/>
        <w:right w:val="none" w:sz="0" w:space="0" w:color="auto"/>
      </w:divBdr>
    </w:div>
    <w:div w:id="1015419509">
      <w:bodyDiv w:val="1"/>
      <w:marLeft w:val="0"/>
      <w:marRight w:val="0"/>
      <w:marTop w:val="0"/>
      <w:marBottom w:val="0"/>
      <w:divBdr>
        <w:top w:val="none" w:sz="0" w:space="0" w:color="auto"/>
        <w:left w:val="none" w:sz="0" w:space="0" w:color="auto"/>
        <w:bottom w:val="none" w:sz="0" w:space="0" w:color="auto"/>
        <w:right w:val="none" w:sz="0" w:space="0" w:color="auto"/>
      </w:divBdr>
    </w:div>
    <w:div w:id="1018315269">
      <w:bodyDiv w:val="1"/>
      <w:marLeft w:val="0"/>
      <w:marRight w:val="0"/>
      <w:marTop w:val="0"/>
      <w:marBottom w:val="0"/>
      <w:divBdr>
        <w:top w:val="none" w:sz="0" w:space="0" w:color="auto"/>
        <w:left w:val="none" w:sz="0" w:space="0" w:color="auto"/>
        <w:bottom w:val="none" w:sz="0" w:space="0" w:color="auto"/>
        <w:right w:val="none" w:sz="0" w:space="0" w:color="auto"/>
      </w:divBdr>
    </w:div>
    <w:div w:id="1019701074">
      <w:bodyDiv w:val="1"/>
      <w:marLeft w:val="0"/>
      <w:marRight w:val="0"/>
      <w:marTop w:val="0"/>
      <w:marBottom w:val="0"/>
      <w:divBdr>
        <w:top w:val="none" w:sz="0" w:space="0" w:color="auto"/>
        <w:left w:val="none" w:sz="0" w:space="0" w:color="auto"/>
        <w:bottom w:val="none" w:sz="0" w:space="0" w:color="auto"/>
        <w:right w:val="none" w:sz="0" w:space="0" w:color="auto"/>
      </w:divBdr>
    </w:div>
    <w:div w:id="1022632455">
      <w:bodyDiv w:val="1"/>
      <w:marLeft w:val="0"/>
      <w:marRight w:val="0"/>
      <w:marTop w:val="0"/>
      <w:marBottom w:val="0"/>
      <w:divBdr>
        <w:top w:val="none" w:sz="0" w:space="0" w:color="auto"/>
        <w:left w:val="none" w:sz="0" w:space="0" w:color="auto"/>
        <w:bottom w:val="none" w:sz="0" w:space="0" w:color="auto"/>
        <w:right w:val="none" w:sz="0" w:space="0" w:color="auto"/>
      </w:divBdr>
    </w:div>
    <w:div w:id="1032807500">
      <w:bodyDiv w:val="1"/>
      <w:marLeft w:val="0"/>
      <w:marRight w:val="0"/>
      <w:marTop w:val="0"/>
      <w:marBottom w:val="0"/>
      <w:divBdr>
        <w:top w:val="none" w:sz="0" w:space="0" w:color="auto"/>
        <w:left w:val="none" w:sz="0" w:space="0" w:color="auto"/>
        <w:bottom w:val="none" w:sz="0" w:space="0" w:color="auto"/>
        <w:right w:val="none" w:sz="0" w:space="0" w:color="auto"/>
      </w:divBdr>
    </w:div>
    <w:div w:id="1034500772">
      <w:bodyDiv w:val="1"/>
      <w:marLeft w:val="0"/>
      <w:marRight w:val="0"/>
      <w:marTop w:val="0"/>
      <w:marBottom w:val="0"/>
      <w:divBdr>
        <w:top w:val="none" w:sz="0" w:space="0" w:color="auto"/>
        <w:left w:val="none" w:sz="0" w:space="0" w:color="auto"/>
        <w:bottom w:val="none" w:sz="0" w:space="0" w:color="auto"/>
        <w:right w:val="none" w:sz="0" w:space="0" w:color="auto"/>
      </w:divBdr>
    </w:div>
    <w:div w:id="1038433509">
      <w:bodyDiv w:val="1"/>
      <w:marLeft w:val="0"/>
      <w:marRight w:val="0"/>
      <w:marTop w:val="0"/>
      <w:marBottom w:val="0"/>
      <w:divBdr>
        <w:top w:val="none" w:sz="0" w:space="0" w:color="auto"/>
        <w:left w:val="none" w:sz="0" w:space="0" w:color="auto"/>
        <w:bottom w:val="none" w:sz="0" w:space="0" w:color="auto"/>
        <w:right w:val="none" w:sz="0" w:space="0" w:color="auto"/>
      </w:divBdr>
    </w:div>
    <w:div w:id="1043794833">
      <w:bodyDiv w:val="1"/>
      <w:marLeft w:val="0"/>
      <w:marRight w:val="0"/>
      <w:marTop w:val="0"/>
      <w:marBottom w:val="0"/>
      <w:divBdr>
        <w:top w:val="none" w:sz="0" w:space="0" w:color="auto"/>
        <w:left w:val="none" w:sz="0" w:space="0" w:color="auto"/>
        <w:bottom w:val="none" w:sz="0" w:space="0" w:color="auto"/>
        <w:right w:val="none" w:sz="0" w:space="0" w:color="auto"/>
      </w:divBdr>
    </w:div>
    <w:div w:id="1048528066">
      <w:bodyDiv w:val="1"/>
      <w:marLeft w:val="0"/>
      <w:marRight w:val="0"/>
      <w:marTop w:val="0"/>
      <w:marBottom w:val="0"/>
      <w:divBdr>
        <w:top w:val="none" w:sz="0" w:space="0" w:color="auto"/>
        <w:left w:val="none" w:sz="0" w:space="0" w:color="auto"/>
        <w:bottom w:val="none" w:sz="0" w:space="0" w:color="auto"/>
        <w:right w:val="none" w:sz="0" w:space="0" w:color="auto"/>
      </w:divBdr>
    </w:div>
    <w:div w:id="1069617533">
      <w:bodyDiv w:val="1"/>
      <w:marLeft w:val="0"/>
      <w:marRight w:val="0"/>
      <w:marTop w:val="0"/>
      <w:marBottom w:val="0"/>
      <w:divBdr>
        <w:top w:val="none" w:sz="0" w:space="0" w:color="auto"/>
        <w:left w:val="none" w:sz="0" w:space="0" w:color="auto"/>
        <w:bottom w:val="none" w:sz="0" w:space="0" w:color="auto"/>
        <w:right w:val="none" w:sz="0" w:space="0" w:color="auto"/>
      </w:divBdr>
    </w:div>
    <w:div w:id="1070076549">
      <w:bodyDiv w:val="1"/>
      <w:marLeft w:val="0"/>
      <w:marRight w:val="0"/>
      <w:marTop w:val="0"/>
      <w:marBottom w:val="0"/>
      <w:divBdr>
        <w:top w:val="none" w:sz="0" w:space="0" w:color="auto"/>
        <w:left w:val="none" w:sz="0" w:space="0" w:color="auto"/>
        <w:bottom w:val="none" w:sz="0" w:space="0" w:color="auto"/>
        <w:right w:val="none" w:sz="0" w:space="0" w:color="auto"/>
      </w:divBdr>
    </w:div>
    <w:div w:id="1070999186">
      <w:bodyDiv w:val="1"/>
      <w:marLeft w:val="0"/>
      <w:marRight w:val="0"/>
      <w:marTop w:val="0"/>
      <w:marBottom w:val="0"/>
      <w:divBdr>
        <w:top w:val="none" w:sz="0" w:space="0" w:color="auto"/>
        <w:left w:val="none" w:sz="0" w:space="0" w:color="auto"/>
        <w:bottom w:val="none" w:sz="0" w:space="0" w:color="auto"/>
        <w:right w:val="none" w:sz="0" w:space="0" w:color="auto"/>
      </w:divBdr>
    </w:div>
    <w:div w:id="1082530528">
      <w:bodyDiv w:val="1"/>
      <w:marLeft w:val="0"/>
      <w:marRight w:val="0"/>
      <w:marTop w:val="0"/>
      <w:marBottom w:val="0"/>
      <w:divBdr>
        <w:top w:val="none" w:sz="0" w:space="0" w:color="auto"/>
        <w:left w:val="none" w:sz="0" w:space="0" w:color="auto"/>
        <w:bottom w:val="none" w:sz="0" w:space="0" w:color="auto"/>
        <w:right w:val="none" w:sz="0" w:space="0" w:color="auto"/>
      </w:divBdr>
    </w:div>
    <w:div w:id="1084032040">
      <w:bodyDiv w:val="1"/>
      <w:marLeft w:val="0"/>
      <w:marRight w:val="0"/>
      <w:marTop w:val="0"/>
      <w:marBottom w:val="0"/>
      <w:divBdr>
        <w:top w:val="none" w:sz="0" w:space="0" w:color="auto"/>
        <w:left w:val="none" w:sz="0" w:space="0" w:color="auto"/>
        <w:bottom w:val="none" w:sz="0" w:space="0" w:color="auto"/>
        <w:right w:val="none" w:sz="0" w:space="0" w:color="auto"/>
      </w:divBdr>
    </w:div>
    <w:div w:id="1086147596">
      <w:bodyDiv w:val="1"/>
      <w:marLeft w:val="0"/>
      <w:marRight w:val="0"/>
      <w:marTop w:val="0"/>
      <w:marBottom w:val="0"/>
      <w:divBdr>
        <w:top w:val="none" w:sz="0" w:space="0" w:color="auto"/>
        <w:left w:val="none" w:sz="0" w:space="0" w:color="auto"/>
        <w:bottom w:val="none" w:sz="0" w:space="0" w:color="auto"/>
        <w:right w:val="none" w:sz="0" w:space="0" w:color="auto"/>
      </w:divBdr>
    </w:div>
    <w:div w:id="1086656947">
      <w:bodyDiv w:val="1"/>
      <w:marLeft w:val="0"/>
      <w:marRight w:val="0"/>
      <w:marTop w:val="0"/>
      <w:marBottom w:val="0"/>
      <w:divBdr>
        <w:top w:val="none" w:sz="0" w:space="0" w:color="auto"/>
        <w:left w:val="none" w:sz="0" w:space="0" w:color="auto"/>
        <w:bottom w:val="none" w:sz="0" w:space="0" w:color="auto"/>
        <w:right w:val="none" w:sz="0" w:space="0" w:color="auto"/>
      </w:divBdr>
    </w:div>
    <w:div w:id="1091051613">
      <w:bodyDiv w:val="1"/>
      <w:marLeft w:val="0"/>
      <w:marRight w:val="0"/>
      <w:marTop w:val="0"/>
      <w:marBottom w:val="0"/>
      <w:divBdr>
        <w:top w:val="none" w:sz="0" w:space="0" w:color="auto"/>
        <w:left w:val="none" w:sz="0" w:space="0" w:color="auto"/>
        <w:bottom w:val="none" w:sz="0" w:space="0" w:color="auto"/>
        <w:right w:val="none" w:sz="0" w:space="0" w:color="auto"/>
      </w:divBdr>
    </w:div>
    <w:div w:id="1092050967">
      <w:bodyDiv w:val="1"/>
      <w:marLeft w:val="0"/>
      <w:marRight w:val="0"/>
      <w:marTop w:val="0"/>
      <w:marBottom w:val="0"/>
      <w:divBdr>
        <w:top w:val="none" w:sz="0" w:space="0" w:color="auto"/>
        <w:left w:val="none" w:sz="0" w:space="0" w:color="auto"/>
        <w:bottom w:val="none" w:sz="0" w:space="0" w:color="auto"/>
        <w:right w:val="none" w:sz="0" w:space="0" w:color="auto"/>
      </w:divBdr>
    </w:div>
    <w:div w:id="1100024155">
      <w:bodyDiv w:val="1"/>
      <w:marLeft w:val="0"/>
      <w:marRight w:val="0"/>
      <w:marTop w:val="0"/>
      <w:marBottom w:val="0"/>
      <w:divBdr>
        <w:top w:val="none" w:sz="0" w:space="0" w:color="auto"/>
        <w:left w:val="none" w:sz="0" w:space="0" w:color="auto"/>
        <w:bottom w:val="none" w:sz="0" w:space="0" w:color="auto"/>
        <w:right w:val="none" w:sz="0" w:space="0" w:color="auto"/>
      </w:divBdr>
    </w:div>
    <w:div w:id="1101531423">
      <w:bodyDiv w:val="1"/>
      <w:marLeft w:val="0"/>
      <w:marRight w:val="0"/>
      <w:marTop w:val="0"/>
      <w:marBottom w:val="0"/>
      <w:divBdr>
        <w:top w:val="none" w:sz="0" w:space="0" w:color="auto"/>
        <w:left w:val="none" w:sz="0" w:space="0" w:color="auto"/>
        <w:bottom w:val="none" w:sz="0" w:space="0" w:color="auto"/>
        <w:right w:val="none" w:sz="0" w:space="0" w:color="auto"/>
      </w:divBdr>
    </w:div>
    <w:div w:id="1107312927">
      <w:bodyDiv w:val="1"/>
      <w:marLeft w:val="0"/>
      <w:marRight w:val="0"/>
      <w:marTop w:val="0"/>
      <w:marBottom w:val="0"/>
      <w:divBdr>
        <w:top w:val="none" w:sz="0" w:space="0" w:color="auto"/>
        <w:left w:val="none" w:sz="0" w:space="0" w:color="auto"/>
        <w:bottom w:val="none" w:sz="0" w:space="0" w:color="auto"/>
        <w:right w:val="none" w:sz="0" w:space="0" w:color="auto"/>
      </w:divBdr>
    </w:div>
    <w:div w:id="1117288796">
      <w:bodyDiv w:val="1"/>
      <w:marLeft w:val="0"/>
      <w:marRight w:val="0"/>
      <w:marTop w:val="0"/>
      <w:marBottom w:val="0"/>
      <w:divBdr>
        <w:top w:val="none" w:sz="0" w:space="0" w:color="auto"/>
        <w:left w:val="none" w:sz="0" w:space="0" w:color="auto"/>
        <w:bottom w:val="none" w:sz="0" w:space="0" w:color="auto"/>
        <w:right w:val="none" w:sz="0" w:space="0" w:color="auto"/>
      </w:divBdr>
      <w:divsChild>
        <w:div w:id="1723214082">
          <w:marLeft w:val="0"/>
          <w:marRight w:val="0"/>
          <w:marTop w:val="0"/>
          <w:marBottom w:val="0"/>
          <w:divBdr>
            <w:top w:val="none" w:sz="0" w:space="0" w:color="auto"/>
            <w:left w:val="none" w:sz="0" w:space="0" w:color="auto"/>
            <w:bottom w:val="none" w:sz="0" w:space="0" w:color="auto"/>
            <w:right w:val="none" w:sz="0" w:space="0" w:color="auto"/>
          </w:divBdr>
          <w:divsChild>
            <w:div w:id="996570767">
              <w:marLeft w:val="0"/>
              <w:marRight w:val="0"/>
              <w:marTop w:val="0"/>
              <w:marBottom w:val="0"/>
              <w:divBdr>
                <w:top w:val="none" w:sz="0" w:space="0" w:color="auto"/>
                <w:left w:val="none" w:sz="0" w:space="0" w:color="auto"/>
                <w:bottom w:val="none" w:sz="0" w:space="0" w:color="auto"/>
                <w:right w:val="none" w:sz="0" w:space="0" w:color="auto"/>
              </w:divBdr>
              <w:divsChild>
                <w:div w:id="55249922">
                  <w:marLeft w:val="0"/>
                  <w:marRight w:val="0"/>
                  <w:marTop w:val="0"/>
                  <w:marBottom w:val="0"/>
                  <w:divBdr>
                    <w:top w:val="none" w:sz="0" w:space="0" w:color="auto"/>
                    <w:left w:val="none" w:sz="0" w:space="0" w:color="auto"/>
                    <w:bottom w:val="none" w:sz="0" w:space="0" w:color="auto"/>
                    <w:right w:val="none" w:sz="0" w:space="0" w:color="auto"/>
                  </w:divBdr>
                  <w:divsChild>
                    <w:div w:id="4689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30772">
      <w:bodyDiv w:val="1"/>
      <w:marLeft w:val="0"/>
      <w:marRight w:val="0"/>
      <w:marTop w:val="0"/>
      <w:marBottom w:val="0"/>
      <w:divBdr>
        <w:top w:val="none" w:sz="0" w:space="0" w:color="auto"/>
        <w:left w:val="none" w:sz="0" w:space="0" w:color="auto"/>
        <w:bottom w:val="none" w:sz="0" w:space="0" w:color="auto"/>
        <w:right w:val="none" w:sz="0" w:space="0" w:color="auto"/>
      </w:divBdr>
    </w:div>
    <w:div w:id="1120489190">
      <w:bodyDiv w:val="1"/>
      <w:marLeft w:val="0"/>
      <w:marRight w:val="0"/>
      <w:marTop w:val="0"/>
      <w:marBottom w:val="0"/>
      <w:divBdr>
        <w:top w:val="none" w:sz="0" w:space="0" w:color="auto"/>
        <w:left w:val="none" w:sz="0" w:space="0" w:color="auto"/>
        <w:bottom w:val="none" w:sz="0" w:space="0" w:color="auto"/>
        <w:right w:val="none" w:sz="0" w:space="0" w:color="auto"/>
      </w:divBdr>
    </w:div>
    <w:div w:id="1125929323">
      <w:bodyDiv w:val="1"/>
      <w:marLeft w:val="0"/>
      <w:marRight w:val="0"/>
      <w:marTop w:val="0"/>
      <w:marBottom w:val="0"/>
      <w:divBdr>
        <w:top w:val="none" w:sz="0" w:space="0" w:color="auto"/>
        <w:left w:val="none" w:sz="0" w:space="0" w:color="auto"/>
        <w:bottom w:val="none" w:sz="0" w:space="0" w:color="auto"/>
        <w:right w:val="none" w:sz="0" w:space="0" w:color="auto"/>
      </w:divBdr>
    </w:div>
    <w:div w:id="1129015671">
      <w:bodyDiv w:val="1"/>
      <w:marLeft w:val="0"/>
      <w:marRight w:val="0"/>
      <w:marTop w:val="0"/>
      <w:marBottom w:val="0"/>
      <w:divBdr>
        <w:top w:val="none" w:sz="0" w:space="0" w:color="auto"/>
        <w:left w:val="none" w:sz="0" w:space="0" w:color="auto"/>
        <w:bottom w:val="none" w:sz="0" w:space="0" w:color="auto"/>
        <w:right w:val="none" w:sz="0" w:space="0" w:color="auto"/>
      </w:divBdr>
    </w:div>
    <w:div w:id="1130366319">
      <w:bodyDiv w:val="1"/>
      <w:marLeft w:val="0"/>
      <w:marRight w:val="0"/>
      <w:marTop w:val="0"/>
      <w:marBottom w:val="0"/>
      <w:divBdr>
        <w:top w:val="none" w:sz="0" w:space="0" w:color="auto"/>
        <w:left w:val="none" w:sz="0" w:space="0" w:color="auto"/>
        <w:bottom w:val="none" w:sz="0" w:space="0" w:color="auto"/>
        <w:right w:val="none" w:sz="0" w:space="0" w:color="auto"/>
      </w:divBdr>
    </w:div>
    <w:div w:id="1135097837">
      <w:bodyDiv w:val="1"/>
      <w:marLeft w:val="0"/>
      <w:marRight w:val="0"/>
      <w:marTop w:val="0"/>
      <w:marBottom w:val="0"/>
      <w:divBdr>
        <w:top w:val="none" w:sz="0" w:space="0" w:color="auto"/>
        <w:left w:val="none" w:sz="0" w:space="0" w:color="auto"/>
        <w:bottom w:val="none" w:sz="0" w:space="0" w:color="auto"/>
        <w:right w:val="none" w:sz="0" w:space="0" w:color="auto"/>
      </w:divBdr>
    </w:div>
    <w:div w:id="1136072546">
      <w:bodyDiv w:val="1"/>
      <w:marLeft w:val="0"/>
      <w:marRight w:val="0"/>
      <w:marTop w:val="0"/>
      <w:marBottom w:val="0"/>
      <w:divBdr>
        <w:top w:val="none" w:sz="0" w:space="0" w:color="auto"/>
        <w:left w:val="none" w:sz="0" w:space="0" w:color="auto"/>
        <w:bottom w:val="none" w:sz="0" w:space="0" w:color="auto"/>
        <w:right w:val="none" w:sz="0" w:space="0" w:color="auto"/>
      </w:divBdr>
    </w:div>
    <w:div w:id="1139495515">
      <w:bodyDiv w:val="1"/>
      <w:marLeft w:val="0"/>
      <w:marRight w:val="0"/>
      <w:marTop w:val="0"/>
      <w:marBottom w:val="0"/>
      <w:divBdr>
        <w:top w:val="none" w:sz="0" w:space="0" w:color="auto"/>
        <w:left w:val="none" w:sz="0" w:space="0" w:color="auto"/>
        <w:bottom w:val="none" w:sz="0" w:space="0" w:color="auto"/>
        <w:right w:val="none" w:sz="0" w:space="0" w:color="auto"/>
      </w:divBdr>
    </w:div>
    <w:div w:id="1139540689">
      <w:bodyDiv w:val="1"/>
      <w:marLeft w:val="0"/>
      <w:marRight w:val="0"/>
      <w:marTop w:val="0"/>
      <w:marBottom w:val="0"/>
      <w:divBdr>
        <w:top w:val="none" w:sz="0" w:space="0" w:color="auto"/>
        <w:left w:val="none" w:sz="0" w:space="0" w:color="auto"/>
        <w:bottom w:val="none" w:sz="0" w:space="0" w:color="auto"/>
        <w:right w:val="none" w:sz="0" w:space="0" w:color="auto"/>
      </w:divBdr>
    </w:div>
    <w:div w:id="1145514797">
      <w:bodyDiv w:val="1"/>
      <w:marLeft w:val="0"/>
      <w:marRight w:val="0"/>
      <w:marTop w:val="0"/>
      <w:marBottom w:val="0"/>
      <w:divBdr>
        <w:top w:val="none" w:sz="0" w:space="0" w:color="auto"/>
        <w:left w:val="none" w:sz="0" w:space="0" w:color="auto"/>
        <w:bottom w:val="none" w:sz="0" w:space="0" w:color="auto"/>
        <w:right w:val="none" w:sz="0" w:space="0" w:color="auto"/>
      </w:divBdr>
    </w:div>
    <w:div w:id="1145776924">
      <w:bodyDiv w:val="1"/>
      <w:marLeft w:val="0"/>
      <w:marRight w:val="0"/>
      <w:marTop w:val="0"/>
      <w:marBottom w:val="0"/>
      <w:divBdr>
        <w:top w:val="none" w:sz="0" w:space="0" w:color="auto"/>
        <w:left w:val="none" w:sz="0" w:space="0" w:color="auto"/>
        <w:bottom w:val="none" w:sz="0" w:space="0" w:color="auto"/>
        <w:right w:val="none" w:sz="0" w:space="0" w:color="auto"/>
      </w:divBdr>
    </w:div>
    <w:div w:id="1153178391">
      <w:bodyDiv w:val="1"/>
      <w:marLeft w:val="0"/>
      <w:marRight w:val="0"/>
      <w:marTop w:val="0"/>
      <w:marBottom w:val="0"/>
      <w:divBdr>
        <w:top w:val="none" w:sz="0" w:space="0" w:color="auto"/>
        <w:left w:val="none" w:sz="0" w:space="0" w:color="auto"/>
        <w:bottom w:val="none" w:sz="0" w:space="0" w:color="auto"/>
        <w:right w:val="none" w:sz="0" w:space="0" w:color="auto"/>
      </w:divBdr>
    </w:div>
    <w:div w:id="1154448218">
      <w:bodyDiv w:val="1"/>
      <w:marLeft w:val="0"/>
      <w:marRight w:val="0"/>
      <w:marTop w:val="0"/>
      <w:marBottom w:val="0"/>
      <w:divBdr>
        <w:top w:val="none" w:sz="0" w:space="0" w:color="auto"/>
        <w:left w:val="none" w:sz="0" w:space="0" w:color="auto"/>
        <w:bottom w:val="none" w:sz="0" w:space="0" w:color="auto"/>
        <w:right w:val="none" w:sz="0" w:space="0" w:color="auto"/>
      </w:divBdr>
    </w:div>
    <w:div w:id="1155686825">
      <w:bodyDiv w:val="1"/>
      <w:marLeft w:val="0"/>
      <w:marRight w:val="0"/>
      <w:marTop w:val="0"/>
      <w:marBottom w:val="0"/>
      <w:divBdr>
        <w:top w:val="none" w:sz="0" w:space="0" w:color="auto"/>
        <w:left w:val="none" w:sz="0" w:space="0" w:color="auto"/>
        <w:bottom w:val="none" w:sz="0" w:space="0" w:color="auto"/>
        <w:right w:val="none" w:sz="0" w:space="0" w:color="auto"/>
      </w:divBdr>
    </w:div>
    <w:div w:id="1157570624">
      <w:bodyDiv w:val="1"/>
      <w:marLeft w:val="0"/>
      <w:marRight w:val="0"/>
      <w:marTop w:val="0"/>
      <w:marBottom w:val="0"/>
      <w:divBdr>
        <w:top w:val="none" w:sz="0" w:space="0" w:color="auto"/>
        <w:left w:val="none" w:sz="0" w:space="0" w:color="auto"/>
        <w:bottom w:val="none" w:sz="0" w:space="0" w:color="auto"/>
        <w:right w:val="none" w:sz="0" w:space="0" w:color="auto"/>
      </w:divBdr>
    </w:div>
    <w:div w:id="1163622339">
      <w:bodyDiv w:val="1"/>
      <w:marLeft w:val="0"/>
      <w:marRight w:val="0"/>
      <w:marTop w:val="0"/>
      <w:marBottom w:val="0"/>
      <w:divBdr>
        <w:top w:val="none" w:sz="0" w:space="0" w:color="auto"/>
        <w:left w:val="none" w:sz="0" w:space="0" w:color="auto"/>
        <w:bottom w:val="none" w:sz="0" w:space="0" w:color="auto"/>
        <w:right w:val="none" w:sz="0" w:space="0" w:color="auto"/>
      </w:divBdr>
    </w:div>
    <w:div w:id="1164322288">
      <w:bodyDiv w:val="1"/>
      <w:marLeft w:val="0"/>
      <w:marRight w:val="0"/>
      <w:marTop w:val="0"/>
      <w:marBottom w:val="0"/>
      <w:divBdr>
        <w:top w:val="none" w:sz="0" w:space="0" w:color="auto"/>
        <w:left w:val="none" w:sz="0" w:space="0" w:color="auto"/>
        <w:bottom w:val="none" w:sz="0" w:space="0" w:color="auto"/>
        <w:right w:val="none" w:sz="0" w:space="0" w:color="auto"/>
      </w:divBdr>
    </w:div>
    <w:div w:id="1164473103">
      <w:bodyDiv w:val="1"/>
      <w:marLeft w:val="0"/>
      <w:marRight w:val="0"/>
      <w:marTop w:val="0"/>
      <w:marBottom w:val="0"/>
      <w:divBdr>
        <w:top w:val="none" w:sz="0" w:space="0" w:color="auto"/>
        <w:left w:val="none" w:sz="0" w:space="0" w:color="auto"/>
        <w:bottom w:val="none" w:sz="0" w:space="0" w:color="auto"/>
        <w:right w:val="none" w:sz="0" w:space="0" w:color="auto"/>
      </w:divBdr>
    </w:div>
    <w:div w:id="1165777035">
      <w:bodyDiv w:val="1"/>
      <w:marLeft w:val="0"/>
      <w:marRight w:val="0"/>
      <w:marTop w:val="0"/>
      <w:marBottom w:val="0"/>
      <w:divBdr>
        <w:top w:val="none" w:sz="0" w:space="0" w:color="auto"/>
        <w:left w:val="none" w:sz="0" w:space="0" w:color="auto"/>
        <w:bottom w:val="none" w:sz="0" w:space="0" w:color="auto"/>
        <w:right w:val="none" w:sz="0" w:space="0" w:color="auto"/>
      </w:divBdr>
    </w:div>
    <w:div w:id="1171486281">
      <w:bodyDiv w:val="1"/>
      <w:marLeft w:val="0"/>
      <w:marRight w:val="0"/>
      <w:marTop w:val="0"/>
      <w:marBottom w:val="0"/>
      <w:divBdr>
        <w:top w:val="none" w:sz="0" w:space="0" w:color="auto"/>
        <w:left w:val="none" w:sz="0" w:space="0" w:color="auto"/>
        <w:bottom w:val="none" w:sz="0" w:space="0" w:color="auto"/>
        <w:right w:val="none" w:sz="0" w:space="0" w:color="auto"/>
      </w:divBdr>
    </w:div>
    <w:div w:id="1173255336">
      <w:bodyDiv w:val="1"/>
      <w:marLeft w:val="0"/>
      <w:marRight w:val="0"/>
      <w:marTop w:val="0"/>
      <w:marBottom w:val="0"/>
      <w:divBdr>
        <w:top w:val="none" w:sz="0" w:space="0" w:color="auto"/>
        <w:left w:val="none" w:sz="0" w:space="0" w:color="auto"/>
        <w:bottom w:val="none" w:sz="0" w:space="0" w:color="auto"/>
        <w:right w:val="none" w:sz="0" w:space="0" w:color="auto"/>
      </w:divBdr>
    </w:div>
    <w:div w:id="1193032417">
      <w:bodyDiv w:val="1"/>
      <w:marLeft w:val="0"/>
      <w:marRight w:val="0"/>
      <w:marTop w:val="0"/>
      <w:marBottom w:val="0"/>
      <w:divBdr>
        <w:top w:val="none" w:sz="0" w:space="0" w:color="auto"/>
        <w:left w:val="none" w:sz="0" w:space="0" w:color="auto"/>
        <w:bottom w:val="none" w:sz="0" w:space="0" w:color="auto"/>
        <w:right w:val="none" w:sz="0" w:space="0" w:color="auto"/>
      </w:divBdr>
    </w:div>
    <w:div w:id="1194491260">
      <w:bodyDiv w:val="1"/>
      <w:marLeft w:val="0"/>
      <w:marRight w:val="0"/>
      <w:marTop w:val="0"/>
      <w:marBottom w:val="0"/>
      <w:divBdr>
        <w:top w:val="none" w:sz="0" w:space="0" w:color="auto"/>
        <w:left w:val="none" w:sz="0" w:space="0" w:color="auto"/>
        <w:bottom w:val="none" w:sz="0" w:space="0" w:color="auto"/>
        <w:right w:val="none" w:sz="0" w:space="0" w:color="auto"/>
      </w:divBdr>
    </w:div>
    <w:div w:id="1194883277">
      <w:bodyDiv w:val="1"/>
      <w:marLeft w:val="0"/>
      <w:marRight w:val="0"/>
      <w:marTop w:val="0"/>
      <w:marBottom w:val="0"/>
      <w:divBdr>
        <w:top w:val="none" w:sz="0" w:space="0" w:color="auto"/>
        <w:left w:val="none" w:sz="0" w:space="0" w:color="auto"/>
        <w:bottom w:val="none" w:sz="0" w:space="0" w:color="auto"/>
        <w:right w:val="none" w:sz="0" w:space="0" w:color="auto"/>
      </w:divBdr>
    </w:div>
    <w:div w:id="1202671444">
      <w:bodyDiv w:val="1"/>
      <w:marLeft w:val="0"/>
      <w:marRight w:val="0"/>
      <w:marTop w:val="0"/>
      <w:marBottom w:val="0"/>
      <w:divBdr>
        <w:top w:val="none" w:sz="0" w:space="0" w:color="auto"/>
        <w:left w:val="none" w:sz="0" w:space="0" w:color="auto"/>
        <w:bottom w:val="none" w:sz="0" w:space="0" w:color="auto"/>
        <w:right w:val="none" w:sz="0" w:space="0" w:color="auto"/>
      </w:divBdr>
    </w:div>
    <w:div w:id="1203595486">
      <w:bodyDiv w:val="1"/>
      <w:marLeft w:val="0"/>
      <w:marRight w:val="0"/>
      <w:marTop w:val="0"/>
      <w:marBottom w:val="0"/>
      <w:divBdr>
        <w:top w:val="none" w:sz="0" w:space="0" w:color="auto"/>
        <w:left w:val="none" w:sz="0" w:space="0" w:color="auto"/>
        <w:bottom w:val="none" w:sz="0" w:space="0" w:color="auto"/>
        <w:right w:val="none" w:sz="0" w:space="0" w:color="auto"/>
      </w:divBdr>
    </w:div>
    <w:div w:id="1205752301">
      <w:bodyDiv w:val="1"/>
      <w:marLeft w:val="0"/>
      <w:marRight w:val="0"/>
      <w:marTop w:val="0"/>
      <w:marBottom w:val="0"/>
      <w:divBdr>
        <w:top w:val="none" w:sz="0" w:space="0" w:color="auto"/>
        <w:left w:val="none" w:sz="0" w:space="0" w:color="auto"/>
        <w:bottom w:val="none" w:sz="0" w:space="0" w:color="auto"/>
        <w:right w:val="none" w:sz="0" w:space="0" w:color="auto"/>
      </w:divBdr>
    </w:div>
    <w:div w:id="1207836890">
      <w:bodyDiv w:val="1"/>
      <w:marLeft w:val="0"/>
      <w:marRight w:val="0"/>
      <w:marTop w:val="0"/>
      <w:marBottom w:val="0"/>
      <w:divBdr>
        <w:top w:val="none" w:sz="0" w:space="0" w:color="auto"/>
        <w:left w:val="none" w:sz="0" w:space="0" w:color="auto"/>
        <w:bottom w:val="none" w:sz="0" w:space="0" w:color="auto"/>
        <w:right w:val="none" w:sz="0" w:space="0" w:color="auto"/>
      </w:divBdr>
    </w:div>
    <w:div w:id="1214007227">
      <w:bodyDiv w:val="1"/>
      <w:marLeft w:val="0"/>
      <w:marRight w:val="0"/>
      <w:marTop w:val="0"/>
      <w:marBottom w:val="0"/>
      <w:divBdr>
        <w:top w:val="none" w:sz="0" w:space="0" w:color="auto"/>
        <w:left w:val="none" w:sz="0" w:space="0" w:color="auto"/>
        <w:bottom w:val="none" w:sz="0" w:space="0" w:color="auto"/>
        <w:right w:val="none" w:sz="0" w:space="0" w:color="auto"/>
      </w:divBdr>
    </w:div>
    <w:div w:id="1221938780">
      <w:bodyDiv w:val="1"/>
      <w:marLeft w:val="0"/>
      <w:marRight w:val="0"/>
      <w:marTop w:val="0"/>
      <w:marBottom w:val="0"/>
      <w:divBdr>
        <w:top w:val="none" w:sz="0" w:space="0" w:color="auto"/>
        <w:left w:val="none" w:sz="0" w:space="0" w:color="auto"/>
        <w:bottom w:val="none" w:sz="0" w:space="0" w:color="auto"/>
        <w:right w:val="none" w:sz="0" w:space="0" w:color="auto"/>
      </w:divBdr>
    </w:div>
    <w:div w:id="1223448476">
      <w:bodyDiv w:val="1"/>
      <w:marLeft w:val="0"/>
      <w:marRight w:val="0"/>
      <w:marTop w:val="0"/>
      <w:marBottom w:val="0"/>
      <w:divBdr>
        <w:top w:val="none" w:sz="0" w:space="0" w:color="auto"/>
        <w:left w:val="none" w:sz="0" w:space="0" w:color="auto"/>
        <w:bottom w:val="none" w:sz="0" w:space="0" w:color="auto"/>
        <w:right w:val="none" w:sz="0" w:space="0" w:color="auto"/>
      </w:divBdr>
    </w:div>
    <w:div w:id="1223713716">
      <w:bodyDiv w:val="1"/>
      <w:marLeft w:val="0"/>
      <w:marRight w:val="0"/>
      <w:marTop w:val="0"/>
      <w:marBottom w:val="0"/>
      <w:divBdr>
        <w:top w:val="none" w:sz="0" w:space="0" w:color="auto"/>
        <w:left w:val="none" w:sz="0" w:space="0" w:color="auto"/>
        <w:bottom w:val="none" w:sz="0" w:space="0" w:color="auto"/>
        <w:right w:val="none" w:sz="0" w:space="0" w:color="auto"/>
      </w:divBdr>
    </w:div>
    <w:div w:id="1224637451">
      <w:bodyDiv w:val="1"/>
      <w:marLeft w:val="0"/>
      <w:marRight w:val="0"/>
      <w:marTop w:val="0"/>
      <w:marBottom w:val="0"/>
      <w:divBdr>
        <w:top w:val="none" w:sz="0" w:space="0" w:color="auto"/>
        <w:left w:val="none" w:sz="0" w:space="0" w:color="auto"/>
        <w:bottom w:val="none" w:sz="0" w:space="0" w:color="auto"/>
        <w:right w:val="none" w:sz="0" w:space="0" w:color="auto"/>
      </w:divBdr>
    </w:div>
    <w:div w:id="1233126752">
      <w:bodyDiv w:val="1"/>
      <w:marLeft w:val="0"/>
      <w:marRight w:val="0"/>
      <w:marTop w:val="0"/>
      <w:marBottom w:val="0"/>
      <w:divBdr>
        <w:top w:val="none" w:sz="0" w:space="0" w:color="auto"/>
        <w:left w:val="none" w:sz="0" w:space="0" w:color="auto"/>
        <w:bottom w:val="none" w:sz="0" w:space="0" w:color="auto"/>
        <w:right w:val="none" w:sz="0" w:space="0" w:color="auto"/>
      </w:divBdr>
    </w:div>
    <w:div w:id="1233468849">
      <w:bodyDiv w:val="1"/>
      <w:marLeft w:val="0"/>
      <w:marRight w:val="0"/>
      <w:marTop w:val="0"/>
      <w:marBottom w:val="0"/>
      <w:divBdr>
        <w:top w:val="none" w:sz="0" w:space="0" w:color="auto"/>
        <w:left w:val="none" w:sz="0" w:space="0" w:color="auto"/>
        <w:bottom w:val="none" w:sz="0" w:space="0" w:color="auto"/>
        <w:right w:val="none" w:sz="0" w:space="0" w:color="auto"/>
      </w:divBdr>
    </w:div>
    <w:div w:id="1238595360">
      <w:bodyDiv w:val="1"/>
      <w:marLeft w:val="0"/>
      <w:marRight w:val="0"/>
      <w:marTop w:val="0"/>
      <w:marBottom w:val="0"/>
      <w:divBdr>
        <w:top w:val="none" w:sz="0" w:space="0" w:color="auto"/>
        <w:left w:val="none" w:sz="0" w:space="0" w:color="auto"/>
        <w:bottom w:val="none" w:sz="0" w:space="0" w:color="auto"/>
        <w:right w:val="none" w:sz="0" w:space="0" w:color="auto"/>
      </w:divBdr>
    </w:div>
    <w:div w:id="1242791459">
      <w:bodyDiv w:val="1"/>
      <w:marLeft w:val="0"/>
      <w:marRight w:val="0"/>
      <w:marTop w:val="0"/>
      <w:marBottom w:val="0"/>
      <w:divBdr>
        <w:top w:val="none" w:sz="0" w:space="0" w:color="auto"/>
        <w:left w:val="none" w:sz="0" w:space="0" w:color="auto"/>
        <w:bottom w:val="none" w:sz="0" w:space="0" w:color="auto"/>
        <w:right w:val="none" w:sz="0" w:space="0" w:color="auto"/>
      </w:divBdr>
    </w:div>
    <w:div w:id="1244687120">
      <w:bodyDiv w:val="1"/>
      <w:marLeft w:val="0"/>
      <w:marRight w:val="0"/>
      <w:marTop w:val="0"/>
      <w:marBottom w:val="0"/>
      <w:divBdr>
        <w:top w:val="none" w:sz="0" w:space="0" w:color="auto"/>
        <w:left w:val="none" w:sz="0" w:space="0" w:color="auto"/>
        <w:bottom w:val="none" w:sz="0" w:space="0" w:color="auto"/>
        <w:right w:val="none" w:sz="0" w:space="0" w:color="auto"/>
      </w:divBdr>
    </w:div>
    <w:div w:id="1245265850">
      <w:bodyDiv w:val="1"/>
      <w:marLeft w:val="0"/>
      <w:marRight w:val="0"/>
      <w:marTop w:val="0"/>
      <w:marBottom w:val="0"/>
      <w:divBdr>
        <w:top w:val="none" w:sz="0" w:space="0" w:color="auto"/>
        <w:left w:val="none" w:sz="0" w:space="0" w:color="auto"/>
        <w:bottom w:val="none" w:sz="0" w:space="0" w:color="auto"/>
        <w:right w:val="none" w:sz="0" w:space="0" w:color="auto"/>
      </w:divBdr>
    </w:div>
    <w:div w:id="1245992340">
      <w:bodyDiv w:val="1"/>
      <w:marLeft w:val="0"/>
      <w:marRight w:val="0"/>
      <w:marTop w:val="0"/>
      <w:marBottom w:val="0"/>
      <w:divBdr>
        <w:top w:val="none" w:sz="0" w:space="0" w:color="auto"/>
        <w:left w:val="none" w:sz="0" w:space="0" w:color="auto"/>
        <w:bottom w:val="none" w:sz="0" w:space="0" w:color="auto"/>
        <w:right w:val="none" w:sz="0" w:space="0" w:color="auto"/>
      </w:divBdr>
    </w:div>
    <w:div w:id="1250887559">
      <w:bodyDiv w:val="1"/>
      <w:marLeft w:val="0"/>
      <w:marRight w:val="0"/>
      <w:marTop w:val="0"/>
      <w:marBottom w:val="0"/>
      <w:divBdr>
        <w:top w:val="none" w:sz="0" w:space="0" w:color="auto"/>
        <w:left w:val="none" w:sz="0" w:space="0" w:color="auto"/>
        <w:bottom w:val="none" w:sz="0" w:space="0" w:color="auto"/>
        <w:right w:val="none" w:sz="0" w:space="0" w:color="auto"/>
      </w:divBdr>
    </w:div>
    <w:div w:id="1251502400">
      <w:bodyDiv w:val="1"/>
      <w:marLeft w:val="0"/>
      <w:marRight w:val="0"/>
      <w:marTop w:val="0"/>
      <w:marBottom w:val="0"/>
      <w:divBdr>
        <w:top w:val="none" w:sz="0" w:space="0" w:color="auto"/>
        <w:left w:val="none" w:sz="0" w:space="0" w:color="auto"/>
        <w:bottom w:val="none" w:sz="0" w:space="0" w:color="auto"/>
        <w:right w:val="none" w:sz="0" w:space="0" w:color="auto"/>
      </w:divBdr>
    </w:div>
    <w:div w:id="1260606810">
      <w:bodyDiv w:val="1"/>
      <w:marLeft w:val="0"/>
      <w:marRight w:val="0"/>
      <w:marTop w:val="0"/>
      <w:marBottom w:val="0"/>
      <w:divBdr>
        <w:top w:val="none" w:sz="0" w:space="0" w:color="auto"/>
        <w:left w:val="none" w:sz="0" w:space="0" w:color="auto"/>
        <w:bottom w:val="none" w:sz="0" w:space="0" w:color="auto"/>
        <w:right w:val="none" w:sz="0" w:space="0" w:color="auto"/>
      </w:divBdr>
    </w:div>
    <w:div w:id="1265073023">
      <w:bodyDiv w:val="1"/>
      <w:marLeft w:val="0"/>
      <w:marRight w:val="0"/>
      <w:marTop w:val="0"/>
      <w:marBottom w:val="0"/>
      <w:divBdr>
        <w:top w:val="none" w:sz="0" w:space="0" w:color="auto"/>
        <w:left w:val="none" w:sz="0" w:space="0" w:color="auto"/>
        <w:bottom w:val="none" w:sz="0" w:space="0" w:color="auto"/>
        <w:right w:val="none" w:sz="0" w:space="0" w:color="auto"/>
      </w:divBdr>
    </w:div>
    <w:div w:id="1265768368">
      <w:bodyDiv w:val="1"/>
      <w:marLeft w:val="0"/>
      <w:marRight w:val="0"/>
      <w:marTop w:val="0"/>
      <w:marBottom w:val="0"/>
      <w:divBdr>
        <w:top w:val="none" w:sz="0" w:space="0" w:color="auto"/>
        <w:left w:val="none" w:sz="0" w:space="0" w:color="auto"/>
        <w:bottom w:val="none" w:sz="0" w:space="0" w:color="auto"/>
        <w:right w:val="none" w:sz="0" w:space="0" w:color="auto"/>
      </w:divBdr>
    </w:div>
    <w:div w:id="1271475728">
      <w:bodyDiv w:val="1"/>
      <w:marLeft w:val="0"/>
      <w:marRight w:val="0"/>
      <w:marTop w:val="0"/>
      <w:marBottom w:val="0"/>
      <w:divBdr>
        <w:top w:val="none" w:sz="0" w:space="0" w:color="auto"/>
        <w:left w:val="none" w:sz="0" w:space="0" w:color="auto"/>
        <w:bottom w:val="none" w:sz="0" w:space="0" w:color="auto"/>
        <w:right w:val="none" w:sz="0" w:space="0" w:color="auto"/>
      </w:divBdr>
    </w:div>
    <w:div w:id="1276449024">
      <w:bodyDiv w:val="1"/>
      <w:marLeft w:val="0"/>
      <w:marRight w:val="0"/>
      <w:marTop w:val="0"/>
      <w:marBottom w:val="0"/>
      <w:divBdr>
        <w:top w:val="none" w:sz="0" w:space="0" w:color="auto"/>
        <w:left w:val="none" w:sz="0" w:space="0" w:color="auto"/>
        <w:bottom w:val="none" w:sz="0" w:space="0" w:color="auto"/>
        <w:right w:val="none" w:sz="0" w:space="0" w:color="auto"/>
      </w:divBdr>
    </w:div>
    <w:div w:id="1277912144">
      <w:bodyDiv w:val="1"/>
      <w:marLeft w:val="0"/>
      <w:marRight w:val="0"/>
      <w:marTop w:val="0"/>
      <w:marBottom w:val="0"/>
      <w:divBdr>
        <w:top w:val="none" w:sz="0" w:space="0" w:color="auto"/>
        <w:left w:val="none" w:sz="0" w:space="0" w:color="auto"/>
        <w:bottom w:val="none" w:sz="0" w:space="0" w:color="auto"/>
        <w:right w:val="none" w:sz="0" w:space="0" w:color="auto"/>
      </w:divBdr>
    </w:div>
    <w:div w:id="1278566902">
      <w:bodyDiv w:val="1"/>
      <w:marLeft w:val="0"/>
      <w:marRight w:val="0"/>
      <w:marTop w:val="0"/>
      <w:marBottom w:val="0"/>
      <w:divBdr>
        <w:top w:val="none" w:sz="0" w:space="0" w:color="auto"/>
        <w:left w:val="none" w:sz="0" w:space="0" w:color="auto"/>
        <w:bottom w:val="none" w:sz="0" w:space="0" w:color="auto"/>
        <w:right w:val="none" w:sz="0" w:space="0" w:color="auto"/>
      </w:divBdr>
    </w:div>
    <w:div w:id="1281107669">
      <w:bodyDiv w:val="1"/>
      <w:marLeft w:val="0"/>
      <w:marRight w:val="0"/>
      <w:marTop w:val="0"/>
      <w:marBottom w:val="0"/>
      <w:divBdr>
        <w:top w:val="none" w:sz="0" w:space="0" w:color="auto"/>
        <w:left w:val="none" w:sz="0" w:space="0" w:color="auto"/>
        <w:bottom w:val="none" w:sz="0" w:space="0" w:color="auto"/>
        <w:right w:val="none" w:sz="0" w:space="0" w:color="auto"/>
      </w:divBdr>
    </w:div>
    <w:div w:id="1283538408">
      <w:bodyDiv w:val="1"/>
      <w:marLeft w:val="0"/>
      <w:marRight w:val="0"/>
      <w:marTop w:val="0"/>
      <w:marBottom w:val="0"/>
      <w:divBdr>
        <w:top w:val="none" w:sz="0" w:space="0" w:color="auto"/>
        <w:left w:val="none" w:sz="0" w:space="0" w:color="auto"/>
        <w:bottom w:val="none" w:sz="0" w:space="0" w:color="auto"/>
        <w:right w:val="none" w:sz="0" w:space="0" w:color="auto"/>
      </w:divBdr>
    </w:div>
    <w:div w:id="1286891799">
      <w:bodyDiv w:val="1"/>
      <w:marLeft w:val="0"/>
      <w:marRight w:val="0"/>
      <w:marTop w:val="0"/>
      <w:marBottom w:val="0"/>
      <w:divBdr>
        <w:top w:val="none" w:sz="0" w:space="0" w:color="auto"/>
        <w:left w:val="none" w:sz="0" w:space="0" w:color="auto"/>
        <w:bottom w:val="none" w:sz="0" w:space="0" w:color="auto"/>
        <w:right w:val="none" w:sz="0" w:space="0" w:color="auto"/>
      </w:divBdr>
    </w:div>
    <w:div w:id="1290546462">
      <w:bodyDiv w:val="1"/>
      <w:marLeft w:val="0"/>
      <w:marRight w:val="0"/>
      <w:marTop w:val="0"/>
      <w:marBottom w:val="0"/>
      <w:divBdr>
        <w:top w:val="none" w:sz="0" w:space="0" w:color="auto"/>
        <w:left w:val="none" w:sz="0" w:space="0" w:color="auto"/>
        <w:bottom w:val="none" w:sz="0" w:space="0" w:color="auto"/>
        <w:right w:val="none" w:sz="0" w:space="0" w:color="auto"/>
      </w:divBdr>
    </w:div>
    <w:div w:id="1291398908">
      <w:bodyDiv w:val="1"/>
      <w:marLeft w:val="0"/>
      <w:marRight w:val="0"/>
      <w:marTop w:val="0"/>
      <w:marBottom w:val="0"/>
      <w:divBdr>
        <w:top w:val="none" w:sz="0" w:space="0" w:color="auto"/>
        <w:left w:val="none" w:sz="0" w:space="0" w:color="auto"/>
        <w:bottom w:val="none" w:sz="0" w:space="0" w:color="auto"/>
        <w:right w:val="none" w:sz="0" w:space="0" w:color="auto"/>
      </w:divBdr>
    </w:div>
    <w:div w:id="1301426105">
      <w:bodyDiv w:val="1"/>
      <w:marLeft w:val="0"/>
      <w:marRight w:val="0"/>
      <w:marTop w:val="0"/>
      <w:marBottom w:val="0"/>
      <w:divBdr>
        <w:top w:val="none" w:sz="0" w:space="0" w:color="auto"/>
        <w:left w:val="none" w:sz="0" w:space="0" w:color="auto"/>
        <w:bottom w:val="none" w:sz="0" w:space="0" w:color="auto"/>
        <w:right w:val="none" w:sz="0" w:space="0" w:color="auto"/>
      </w:divBdr>
    </w:div>
    <w:div w:id="1308589178">
      <w:bodyDiv w:val="1"/>
      <w:marLeft w:val="0"/>
      <w:marRight w:val="0"/>
      <w:marTop w:val="0"/>
      <w:marBottom w:val="0"/>
      <w:divBdr>
        <w:top w:val="none" w:sz="0" w:space="0" w:color="auto"/>
        <w:left w:val="none" w:sz="0" w:space="0" w:color="auto"/>
        <w:bottom w:val="none" w:sz="0" w:space="0" w:color="auto"/>
        <w:right w:val="none" w:sz="0" w:space="0" w:color="auto"/>
      </w:divBdr>
    </w:div>
    <w:div w:id="1319729075">
      <w:bodyDiv w:val="1"/>
      <w:marLeft w:val="0"/>
      <w:marRight w:val="0"/>
      <w:marTop w:val="0"/>
      <w:marBottom w:val="0"/>
      <w:divBdr>
        <w:top w:val="none" w:sz="0" w:space="0" w:color="auto"/>
        <w:left w:val="none" w:sz="0" w:space="0" w:color="auto"/>
        <w:bottom w:val="none" w:sz="0" w:space="0" w:color="auto"/>
        <w:right w:val="none" w:sz="0" w:space="0" w:color="auto"/>
      </w:divBdr>
    </w:div>
    <w:div w:id="1320619940">
      <w:bodyDiv w:val="1"/>
      <w:marLeft w:val="0"/>
      <w:marRight w:val="0"/>
      <w:marTop w:val="0"/>
      <w:marBottom w:val="0"/>
      <w:divBdr>
        <w:top w:val="none" w:sz="0" w:space="0" w:color="auto"/>
        <w:left w:val="none" w:sz="0" w:space="0" w:color="auto"/>
        <w:bottom w:val="none" w:sz="0" w:space="0" w:color="auto"/>
        <w:right w:val="none" w:sz="0" w:space="0" w:color="auto"/>
      </w:divBdr>
    </w:div>
    <w:div w:id="1324355106">
      <w:bodyDiv w:val="1"/>
      <w:marLeft w:val="0"/>
      <w:marRight w:val="0"/>
      <w:marTop w:val="0"/>
      <w:marBottom w:val="0"/>
      <w:divBdr>
        <w:top w:val="none" w:sz="0" w:space="0" w:color="auto"/>
        <w:left w:val="none" w:sz="0" w:space="0" w:color="auto"/>
        <w:bottom w:val="none" w:sz="0" w:space="0" w:color="auto"/>
        <w:right w:val="none" w:sz="0" w:space="0" w:color="auto"/>
      </w:divBdr>
    </w:div>
    <w:div w:id="1333070516">
      <w:bodyDiv w:val="1"/>
      <w:marLeft w:val="0"/>
      <w:marRight w:val="0"/>
      <w:marTop w:val="0"/>
      <w:marBottom w:val="0"/>
      <w:divBdr>
        <w:top w:val="none" w:sz="0" w:space="0" w:color="auto"/>
        <w:left w:val="none" w:sz="0" w:space="0" w:color="auto"/>
        <w:bottom w:val="none" w:sz="0" w:space="0" w:color="auto"/>
        <w:right w:val="none" w:sz="0" w:space="0" w:color="auto"/>
      </w:divBdr>
    </w:div>
    <w:div w:id="1335105651">
      <w:bodyDiv w:val="1"/>
      <w:marLeft w:val="0"/>
      <w:marRight w:val="0"/>
      <w:marTop w:val="0"/>
      <w:marBottom w:val="0"/>
      <w:divBdr>
        <w:top w:val="none" w:sz="0" w:space="0" w:color="auto"/>
        <w:left w:val="none" w:sz="0" w:space="0" w:color="auto"/>
        <w:bottom w:val="none" w:sz="0" w:space="0" w:color="auto"/>
        <w:right w:val="none" w:sz="0" w:space="0" w:color="auto"/>
      </w:divBdr>
    </w:div>
    <w:div w:id="1338848207">
      <w:bodyDiv w:val="1"/>
      <w:marLeft w:val="0"/>
      <w:marRight w:val="0"/>
      <w:marTop w:val="0"/>
      <w:marBottom w:val="0"/>
      <w:divBdr>
        <w:top w:val="none" w:sz="0" w:space="0" w:color="auto"/>
        <w:left w:val="none" w:sz="0" w:space="0" w:color="auto"/>
        <w:bottom w:val="none" w:sz="0" w:space="0" w:color="auto"/>
        <w:right w:val="none" w:sz="0" w:space="0" w:color="auto"/>
      </w:divBdr>
    </w:div>
    <w:div w:id="1338923843">
      <w:bodyDiv w:val="1"/>
      <w:marLeft w:val="0"/>
      <w:marRight w:val="0"/>
      <w:marTop w:val="0"/>
      <w:marBottom w:val="0"/>
      <w:divBdr>
        <w:top w:val="none" w:sz="0" w:space="0" w:color="auto"/>
        <w:left w:val="none" w:sz="0" w:space="0" w:color="auto"/>
        <w:bottom w:val="none" w:sz="0" w:space="0" w:color="auto"/>
        <w:right w:val="none" w:sz="0" w:space="0" w:color="auto"/>
      </w:divBdr>
    </w:div>
    <w:div w:id="1350254975">
      <w:bodyDiv w:val="1"/>
      <w:marLeft w:val="0"/>
      <w:marRight w:val="0"/>
      <w:marTop w:val="0"/>
      <w:marBottom w:val="0"/>
      <w:divBdr>
        <w:top w:val="none" w:sz="0" w:space="0" w:color="auto"/>
        <w:left w:val="none" w:sz="0" w:space="0" w:color="auto"/>
        <w:bottom w:val="none" w:sz="0" w:space="0" w:color="auto"/>
        <w:right w:val="none" w:sz="0" w:space="0" w:color="auto"/>
      </w:divBdr>
    </w:div>
    <w:div w:id="1352758558">
      <w:bodyDiv w:val="1"/>
      <w:marLeft w:val="0"/>
      <w:marRight w:val="0"/>
      <w:marTop w:val="0"/>
      <w:marBottom w:val="0"/>
      <w:divBdr>
        <w:top w:val="none" w:sz="0" w:space="0" w:color="auto"/>
        <w:left w:val="none" w:sz="0" w:space="0" w:color="auto"/>
        <w:bottom w:val="none" w:sz="0" w:space="0" w:color="auto"/>
        <w:right w:val="none" w:sz="0" w:space="0" w:color="auto"/>
      </w:divBdr>
    </w:div>
    <w:div w:id="1353409621">
      <w:bodyDiv w:val="1"/>
      <w:marLeft w:val="0"/>
      <w:marRight w:val="0"/>
      <w:marTop w:val="0"/>
      <w:marBottom w:val="0"/>
      <w:divBdr>
        <w:top w:val="none" w:sz="0" w:space="0" w:color="auto"/>
        <w:left w:val="none" w:sz="0" w:space="0" w:color="auto"/>
        <w:bottom w:val="none" w:sz="0" w:space="0" w:color="auto"/>
        <w:right w:val="none" w:sz="0" w:space="0" w:color="auto"/>
      </w:divBdr>
    </w:div>
    <w:div w:id="1354503333">
      <w:bodyDiv w:val="1"/>
      <w:marLeft w:val="0"/>
      <w:marRight w:val="0"/>
      <w:marTop w:val="0"/>
      <w:marBottom w:val="0"/>
      <w:divBdr>
        <w:top w:val="none" w:sz="0" w:space="0" w:color="auto"/>
        <w:left w:val="none" w:sz="0" w:space="0" w:color="auto"/>
        <w:bottom w:val="none" w:sz="0" w:space="0" w:color="auto"/>
        <w:right w:val="none" w:sz="0" w:space="0" w:color="auto"/>
      </w:divBdr>
    </w:div>
    <w:div w:id="1358191957">
      <w:bodyDiv w:val="1"/>
      <w:marLeft w:val="0"/>
      <w:marRight w:val="0"/>
      <w:marTop w:val="0"/>
      <w:marBottom w:val="0"/>
      <w:divBdr>
        <w:top w:val="none" w:sz="0" w:space="0" w:color="auto"/>
        <w:left w:val="none" w:sz="0" w:space="0" w:color="auto"/>
        <w:bottom w:val="none" w:sz="0" w:space="0" w:color="auto"/>
        <w:right w:val="none" w:sz="0" w:space="0" w:color="auto"/>
      </w:divBdr>
    </w:div>
    <w:div w:id="1360279338">
      <w:bodyDiv w:val="1"/>
      <w:marLeft w:val="0"/>
      <w:marRight w:val="0"/>
      <w:marTop w:val="0"/>
      <w:marBottom w:val="0"/>
      <w:divBdr>
        <w:top w:val="none" w:sz="0" w:space="0" w:color="auto"/>
        <w:left w:val="none" w:sz="0" w:space="0" w:color="auto"/>
        <w:bottom w:val="none" w:sz="0" w:space="0" w:color="auto"/>
        <w:right w:val="none" w:sz="0" w:space="0" w:color="auto"/>
      </w:divBdr>
    </w:div>
    <w:div w:id="1362197012">
      <w:bodyDiv w:val="1"/>
      <w:marLeft w:val="0"/>
      <w:marRight w:val="0"/>
      <w:marTop w:val="0"/>
      <w:marBottom w:val="0"/>
      <w:divBdr>
        <w:top w:val="none" w:sz="0" w:space="0" w:color="auto"/>
        <w:left w:val="none" w:sz="0" w:space="0" w:color="auto"/>
        <w:bottom w:val="none" w:sz="0" w:space="0" w:color="auto"/>
        <w:right w:val="none" w:sz="0" w:space="0" w:color="auto"/>
      </w:divBdr>
    </w:div>
    <w:div w:id="1374310617">
      <w:bodyDiv w:val="1"/>
      <w:marLeft w:val="0"/>
      <w:marRight w:val="0"/>
      <w:marTop w:val="0"/>
      <w:marBottom w:val="0"/>
      <w:divBdr>
        <w:top w:val="none" w:sz="0" w:space="0" w:color="auto"/>
        <w:left w:val="none" w:sz="0" w:space="0" w:color="auto"/>
        <w:bottom w:val="none" w:sz="0" w:space="0" w:color="auto"/>
        <w:right w:val="none" w:sz="0" w:space="0" w:color="auto"/>
      </w:divBdr>
    </w:div>
    <w:div w:id="1376805770">
      <w:bodyDiv w:val="1"/>
      <w:marLeft w:val="0"/>
      <w:marRight w:val="0"/>
      <w:marTop w:val="0"/>
      <w:marBottom w:val="0"/>
      <w:divBdr>
        <w:top w:val="none" w:sz="0" w:space="0" w:color="auto"/>
        <w:left w:val="none" w:sz="0" w:space="0" w:color="auto"/>
        <w:bottom w:val="none" w:sz="0" w:space="0" w:color="auto"/>
        <w:right w:val="none" w:sz="0" w:space="0" w:color="auto"/>
      </w:divBdr>
    </w:div>
    <w:div w:id="1383095796">
      <w:bodyDiv w:val="1"/>
      <w:marLeft w:val="0"/>
      <w:marRight w:val="0"/>
      <w:marTop w:val="0"/>
      <w:marBottom w:val="0"/>
      <w:divBdr>
        <w:top w:val="none" w:sz="0" w:space="0" w:color="auto"/>
        <w:left w:val="none" w:sz="0" w:space="0" w:color="auto"/>
        <w:bottom w:val="none" w:sz="0" w:space="0" w:color="auto"/>
        <w:right w:val="none" w:sz="0" w:space="0" w:color="auto"/>
      </w:divBdr>
    </w:div>
    <w:div w:id="1385373209">
      <w:bodyDiv w:val="1"/>
      <w:marLeft w:val="0"/>
      <w:marRight w:val="0"/>
      <w:marTop w:val="0"/>
      <w:marBottom w:val="0"/>
      <w:divBdr>
        <w:top w:val="none" w:sz="0" w:space="0" w:color="auto"/>
        <w:left w:val="none" w:sz="0" w:space="0" w:color="auto"/>
        <w:bottom w:val="none" w:sz="0" w:space="0" w:color="auto"/>
        <w:right w:val="none" w:sz="0" w:space="0" w:color="auto"/>
      </w:divBdr>
    </w:div>
    <w:div w:id="1391424066">
      <w:bodyDiv w:val="1"/>
      <w:marLeft w:val="0"/>
      <w:marRight w:val="0"/>
      <w:marTop w:val="0"/>
      <w:marBottom w:val="0"/>
      <w:divBdr>
        <w:top w:val="none" w:sz="0" w:space="0" w:color="auto"/>
        <w:left w:val="none" w:sz="0" w:space="0" w:color="auto"/>
        <w:bottom w:val="none" w:sz="0" w:space="0" w:color="auto"/>
        <w:right w:val="none" w:sz="0" w:space="0" w:color="auto"/>
      </w:divBdr>
    </w:div>
    <w:div w:id="1393844967">
      <w:bodyDiv w:val="1"/>
      <w:marLeft w:val="0"/>
      <w:marRight w:val="0"/>
      <w:marTop w:val="0"/>
      <w:marBottom w:val="0"/>
      <w:divBdr>
        <w:top w:val="none" w:sz="0" w:space="0" w:color="auto"/>
        <w:left w:val="none" w:sz="0" w:space="0" w:color="auto"/>
        <w:bottom w:val="none" w:sz="0" w:space="0" w:color="auto"/>
        <w:right w:val="none" w:sz="0" w:space="0" w:color="auto"/>
      </w:divBdr>
    </w:div>
    <w:div w:id="1402405825">
      <w:bodyDiv w:val="1"/>
      <w:marLeft w:val="0"/>
      <w:marRight w:val="0"/>
      <w:marTop w:val="0"/>
      <w:marBottom w:val="0"/>
      <w:divBdr>
        <w:top w:val="none" w:sz="0" w:space="0" w:color="auto"/>
        <w:left w:val="none" w:sz="0" w:space="0" w:color="auto"/>
        <w:bottom w:val="none" w:sz="0" w:space="0" w:color="auto"/>
        <w:right w:val="none" w:sz="0" w:space="0" w:color="auto"/>
      </w:divBdr>
    </w:div>
    <w:div w:id="1405957195">
      <w:bodyDiv w:val="1"/>
      <w:marLeft w:val="0"/>
      <w:marRight w:val="0"/>
      <w:marTop w:val="0"/>
      <w:marBottom w:val="0"/>
      <w:divBdr>
        <w:top w:val="none" w:sz="0" w:space="0" w:color="auto"/>
        <w:left w:val="none" w:sz="0" w:space="0" w:color="auto"/>
        <w:bottom w:val="none" w:sz="0" w:space="0" w:color="auto"/>
        <w:right w:val="none" w:sz="0" w:space="0" w:color="auto"/>
      </w:divBdr>
    </w:div>
    <w:div w:id="1412314260">
      <w:bodyDiv w:val="1"/>
      <w:marLeft w:val="0"/>
      <w:marRight w:val="0"/>
      <w:marTop w:val="0"/>
      <w:marBottom w:val="0"/>
      <w:divBdr>
        <w:top w:val="none" w:sz="0" w:space="0" w:color="auto"/>
        <w:left w:val="none" w:sz="0" w:space="0" w:color="auto"/>
        <w:bottom w:val="none" w:sz="0" w:space="0" w:color="auto"/>
        <w:right w:val="none" w:sz="0" w:space="0" w:color="auto"/>
      </w:divBdr>
    </w:div>
    <w:div w:id="1414621666">
      <w:bodyDiv w:val="1"/>
      <w:marLeft w:val="0"/>
      <w:marRight w:val="0"/>
      <w:marTop w:val="0"/>
      <w:marBottom w:val="0"/>
      <w:divBdr>
        <w:top w:val="none" w:sz="0" w:space="0" w:color="auto"/>
        <w:left w:val="none" w:sz="0" w:space="0" w:color="auto"/>
        <w:bottom w:val="none" w:sz="0" w:space="0" w:color="auto"/>
        <w:right w:val="none" w:sz="0" w:space="0" w:color="auto"/>
      </w:divBdr>
    </w:div>
    <w:div w:id="1422919491">
      <w:bodyDiv w:val="1"/>
      <w:marLeft w:val="0"/>
      <w:marRight w:val="0"/>
      <w:marTop w:val="0"/>
      <w:marBottom w:val="0"/>
      <w:divBdr>
        <w:top w:val="none" w:sz="0" w:space="0" w:color="auto"/>
        <w:left w:val="none" w:sz="0" w:space="0" w:color="auto"/>
        <w:bottom w:val="none" w:sz="0" w:space="0" w:color="auto"/>
        <w:right w:val="none" w:sz="0" w:space="0" w:color="auto"/>
      </w:divBdr>
    </w:div>
    <w:div w:id="1426070091">
      <w:bodyDiv w:val="1"/>
      <w:marLeft w:val="0"/>
      <w:marRight w:val="0"/>
      <w:marTop w:val="0"/>
      <w:marBottom w:val="0"/>
      <w:divBdr>
        <w:top w:val="none" w:sz="0" w:space="0" w:color="auto"/>
        <w:left w:val="none" w:sz="0" w:space="0" w:color="auto"/>
        <w:bottom w:val="none" w:sz="0" w:space="0" w:color="auto"/>
        <w:right w:val="none" w:sz="0" w:space="0" w:color="auto"/>
      </w:divBdr>
    </w:div>
    <w:div w:id="1426458695">
      <w:bodyDiv w:val="1"/>
      <w:marLeft w:val="0"/>
      <w:marRight w:val="0"/>
      <w:marTop w:val="0"/>
      <w:marBottom w:val="0"/>
      <w:divBdr>
        <w:top w:val="none" w:sz="0" w:space="0" w:color="auto"/>
        <w:left w:val="none" w:sz="0" w:space="0" w:color="auto"/>
        <w:bottom w:val="none" w:sz="0" w:space="0" w:color="auto"/>
        <w:right w:val="none" w:sz="0" w:space="0" w:color="auto"/>
      </w:divBdr>
    </w:div>
    <w:div w:id="1426993388">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3281794">
      <w:bodyDiv w:val="1"/>
      <w:marLeft w:val="0"/>
      <w:marRight w:val="0"/>
      <w:marTop w:val="0"/>
      <w:marBottom w:val="0"/>
      <w:divBdr>
        <w:top w:val="none" w:sz="0" w:space="0" w:color="auto"/>
        <w:left w:val="none" w:sz="0" w:space="0" w:color="auto"/>
        <w:bottom w:val="none" w:sz="0" w:space="0" w:color="auto"/>
        <w:right w:val="none" w:sz="0" w:space="0" w:color="auto"/>
      </w:divBdr>
    </w:div>
    <w:div w:id="1440562319">
      <w:bodyDiv w:val="1"/>
      <w:marLeft w:val="0"/>
      <w:marRight w:val="0"/>
      <w:marTop w:val="0"/>
      <w:marBottom w:val="0"/>
      <w:divBdr>
        <w:top w:val="none" w:sz="0" w:space="0" w:color="auto"/>
        <w:left w:val="none" w:sz="0" w:space="0" w:color="auto"/>
        <w:bottom w:val="none" w:sz="0" w:space="0" w:color="auto"/>
        <w:right w:val="none" w:sz="0" w:space="0" w:color="auto"/>
      </w:divBdr>
    </w:div>
    <w:div w:id="1444494432">
      <w:bodyDiv w:val="1"/>
      <w:marLeft w:val="0"/>
      <w:marRight w:val="0"/>
      <w:marTop w:val="0"/>
      <w:marBottom w:val="0"/>
      <w:divBdr>
        <w:top w:val="none" w:sz="0" w:space="0" w:color="auto"/>
        <w:left w:val="none" w:sz="0" w:space="0" w:color="auto"/>
        <w:bottom w:val="none" w:sz="0" w:space="0" w:color="auto"/>
        <w:right w:val="none" w:sz="0" w:space="0" w:color="auto"/>
      </w:divBdr>
    </w:div>
    <w:div w:id="1444498551">
      <w:bodyDiv w:val="1"/>
      <w:marLeft w:val="0"/>
      <w:marRight w:val="0"/>
      <w:marTop w:val="0"/>
      <w:marBottom w:val="0"/>
      <w:divBdr>
        <w:top w:val="none" w:sz="0" w:space="0" w:color="auto"/>
        <w:left w:val="none" w:sz="0" w:space="0" w:color="auto"/>
        <w:bottom w:val="none" w:sz="0" w:space="0" w:color="auto"/>
        <w:right w:val="none" w:sz="0" w:space="0" w:color="auto"/>
      </w:divBdr>
    </w:div>
    <w:div w:id="1444836833">
      <w:bodyDiv w:val="1"/>
      <w:marLeft w:val="0"/>
      <w:marRight w:val="0"/>
      <w:marTop w:val="0"/>
      <w:marBottom w:val="0"/>
      <w:divBdr>
        <w:top w:val="none" w:sz="0" w:space="0" w:color="auto"/>
        <w:left w:val="none" w:sz="0" w:space="0" w:color="auto"/>
        <w:bottom w:val="none" w:sz="0" w:space="0" w:color="auto"/>
        <w:right w:val="none" w:sz="0" w:space="0" w:color="auto"/>
      </w:divBdr>
    </w:div>
    <w:div w:id="1446268518">
      <w:bodyDiv w:val="1"/>
      <w:marLeft w:val="0"/>
      <w:marRight w:val="0"/>
      <w:marTop w:val="0"/>
      <w:marBottom w:val="0"/>
      <w:divBdr>
        <w:top w:val="none" w:sz="0" w:space="0" w:color="auto"/>
        <w:left w:val="none" w:sz="0" w:space="0" w:color="auto"/>
        <w:bottom w:val="none" w:sz="0" w:space="0" w:color="auto"/>
        <w:right w:val="none" w:sz="0" w:space="0" w:color="auto"/>
      </w:divBdr>
    </w:div>
    <w:div w:id="1449202840">
      <w:bodyDiv w:val="1"/>
      <w:marLeft w:val="0"/>
      <w:marRight w:val="0"/>
      <w:marTop w:val="0"/>
      <w:marBottom w:val="0"/>
      <w:divBdr>
        <w:top w:val="none" w:sz="0" w:space="0" w:color="auto"/>
        <w:left w:val="none" w:sz="0" w:space="0" w:color="auto"/>
        <w:bottom w:val="none" w:sz="0" w:space="0" w:color="auto"/>
        <w:right w:val="none" w:sz="0" w:space="0" w:color="auto"/>
      </w:divBdr>
    </w:div>
    <w:div w:id="1452238698">
      <w:bodyDiv w:val="1"/>
      <w:marLeft w:val="0"/>
      <w:marRight w:val="0"/>
      <w:marTop w:val="0"/>
      <w:marBottom w:val="0"/>
      <w:divBdr>
        <w:top w:val="none" w:sz="0" w:space="0" w:color="auto"/>
        <w:left w:val="none" w:sz="0" w:space="0" w:color="auto"/>
        <w:bottom w:val="none" w:sz="0" w:space="0" w:color="auto"/>
        <w:right w:val="none" w:sz="0" w:space="0" w:color="auto"/>
      </w:divBdr>
    </w:div>
    <w:div w:id="1454664819">
      <w:bodyDiv w:val="1"/>
      <w:marLeft w:val="0"/>
      <w:marRight w:val="0"/>
      <w:marTop w:val="0"/>
      <w:marBottom w:val="0"/>
      <w:divBdr>
        <w:top w:val="none" w:sz="0" w:space="0" w:color="auto"/>
        <w:left w:val="none" w:sz="0" w:space="0" w:color="auto"/>
        <w:bottom w:val="none" w:sz="0" w:space="0" w:color="auto"/>
        <w:right w:val="none" w:sz="0" w:space="0" w:color="auto"/>
      </w:divBdr>
    </w:div>
    <w:div w:id="1454866286">
      <w:bodyDiv w:val="1"/>
      <w:marLeft w:val="0"/>
      <w:marRight w:val="0"/>
      <w:marTop w:val="0"/>
      <w:marBottom w:val="0"/>
      <w:divBdr>
        <w:top w:val="none" w:sz="0" w:space="0" w:color="auto"/>
        <w:left w:val="none" w:sz="0" w:space="0" w:color="auto"/>
        <w:bottom w:val="none" w:sz="0" w:space="0" w:color="auto"/>
        <w:right w:val="none" w:sz="0" w:space="0" w:color="auto"/>
      </w:divBdr>
    </w:div>
    <w:div w:id="1464225800">
      <w:bodyDiv w:val="1"/>
      <w:marLeft w:val="0"/>
      <w:marRight w:val="0"/>
      <w:marTop w:val="0"/>
      <w:marBottom w:val="0"/>
      <w:divBdr>
        <w:top w:val="none" w:sz="0" w:space="0" w:color="auto"/>
        <w:left w:val="none" w:sz="0" w:space="0" w:color="auto"/>
        <w:bottom w:val="none" w:sz="0" w:space="0" w:color="auto"/>
        <w:right w:val="none" w:sz="0" w:space="0" w:color="auto"/>
      </w:divBdr>
    </w:div>
    <w:div w:id="1467626356">
      <w:bodyDiv w:val="1"/>
      <w:marLeft w:val="0"/>
      <w:marRight w:val="0"/>
      <w:marTop w:val="0"/>
      <w:marBottom w:val="0"/>
      <w:divBdr>
        <w:top w:val="none" w:sz="0" w:space="0" w:color="auto"/>
        <w:left w:val="none" w:sz="0" w:space="0" w:color="auto"/>
        <w:bottom w:val="none" w:sz="0" w:space="0" w:color="auto"/>
        <w:right w:val="none" w:sz="0" w:space="0" w:color="auto"/>
      </w:divBdr>
    </w:div>
    <w:div w:id="1472862213">
      <w:bodyDiv w:val="1"/>
      <w:marLeft w:val="0"/>
      <w:marRight w:val="0"/>
      <w:marTop w:val="0"/>
      <w:marBottom w:val="0"/>
      <w:divBdr>
        <w:top w:val="none" w:sz="0" w:space="0" w:color="auto"/>
        <w:left w:val="none" w:sz="0" w:space="0" w:color="auto"/>
        <w:bottom w:val="none" w:sz="0" w:space="0" w:color="auto"/>
        <w:right w:val="none" w:sz="0" w:space="0" w:color="auto"/>
      </w:divBdr>
    </w:div>
    <w:div w:id="1478375767">
      <w:bodyDiv w:val="1"/>
      <w:marLeft w:val="0"/>
      <w:marRight w:val="0"/>
      <w:marTop w:val="0"/>
      <w:marBottom w:val="0"/>
      <w:divBdr>
        <w:top w:val="none" w:sz="0" w:space="0" w:color="auto"/>
        <w:left w:val="none" w:sz="0" w:space="0" w:color="auto"/>
        <w:bottom w:val="none" w:sz="0" w:space="0" w:color="auto"/>
        <w:right w:val="none" w:sz="0" w:space="0" w:color="auto"/>
      </w:divBdr>
    </w:div>
    <w:div w:id="1480226624">
      <w:bodyDiv w:val="1"/>
      <w:marLeft w:val="0"/>
      <w:marRight w:val="0"/>
      <w:marTop w:val="0"/>
      <w:marBottom w:val="0"/>
      <w:divBdr>
        <w:top w:val="none" w:sz="0" w:space="0" w:color="auto"/>
        <w:left w:val="none" w:sz="0" w:space="0" w:color="auto"/>
        <w:bottom w:val="none" w:sz="0" w:space="0" w:color="auto"/>
        <w:right w:val="none" w:sz="0" w:space="0" w:color="auto"/>
      </w:divBdr>
    </w:div>
    <w:div w:id="1480532582">
      <w:bodyDiv w:val="1"/>
      <w:marLeft w:val="0"/>
      <w:marRight w:val="0"/>
      <w:marTop w:val="0"/>
      <w:marBottom w:val="0"/>
      <w:divBdr>
        <w:top w:val="none" w:sz="0" w:space="0" w:color="auto"/>
        <w:left w:val="none" w:sz="0" w:space="0" w:color="auto"/>
        <w:bottom w:val="none" w:sz="0" w:space="0" w:color="auto"/>
        <w:right w:val="none" w:sz="0" w:space="0" w:color="auto"/>
      </w:divBdr>
    </w:div>
    <w:div w:id="1485269879">
      <w:bodyDiv w:val="1"/>
      <w:marLeft w:val="0"/>
      <w:marRight w:val="0"/>
      <w:marTop w:val="0"/>
      <w:marBottom w:val="0"/>
      <w:divBdr>
        <w:top w:val="none" w:sz="0" w:space="0" w:color="auto"/>
        <w:left w:val="none" w:sz="0" w:space="0" w:color="auto"/>
        <w:bottom w:val="none" w:sz="0" w:space="0" w:color="auto"/>
        <w:right w:val="none" w:sz="0" w:space="0" w:color="auto"/>
      </w:divBdr>
    </w:div>
    <w:div w:id="1491559750">
      <w:bodyDiv w:val="1"/>
      <w:marLeft w:val="0"/>
      <w:marRight w:val="0"/>
      <w:marTop w:val="0"/>
      <w:marBottom w:val="0"/>
      <w:divBdr>
        <w:top w:val="none" w:sz="0" w:space="0" w:color="auto"/>
        <w:left w:val="none" w:sz="0" w:space="0" w:color="auto"/>
        <w:bottom w:val="none" w:sz="0" w:space="0" w:color="auto"/>
        <w:right w:val="none" w:sz="0" w:space="0" w:color="auto"/>
      </w:divBdr>
    </w:div>
    <w:div w:id="1495491761">
      <w:bodyDiv w:val="1"/>
      <w:marLeft w:val="0"/>
      <w:marRight w:val="0"/>
      <w:marTop w:val="0"/>
      <w:marBottom w:val="0"/>
      <w:divBdr>
        <w:top w:val="none" w:sz="0" w:space="0" w:color="auto"/>
        <w:left w:val="none" w:sz="0" w:space="0" w:color="auto"/>
        <w:bottom w:val="none" w:sz="0" w:space="0" w:color="auto"/>
        <w:right w:val="none" w:sz="0" w:space="0" w:color="auto"/>
      </w:divBdr>
    </w:div>
    <w:div w:id="1495684161">
      <w:bodyDiv w:val="1"/>
      <w:marLeft w:val="0"/>
      <w:marRight w:val="0"/>
      <w:marTop w:val="0"/>
      <w:marBottom w:val="0"/>
      <w:divBdr>
        <w:top w:val="none" w:sz="0" w:space="0" w:color="auto"/>
        <w:left w:val="none" w:sz="0" w:space="0" w:color="auto"/>
        <w:bottom w:val="none" w:sz="0" w:space="0" w:color="auto"/>
        <w:right w:val="none" w:sz="0" w:space="0" w:color="auto"/>
      </w:divBdr>
    </w:div>
    <w:div w:id="1497115297">
      <w:bodyDiv w:val="1"/>
      <w:marLeft w:val="0"/>
      <w:marRight w:val="0"/>
      <w:marTop w:val="0"/>
      <w:marBottom w:val="0"/>
      <w:divBdr>
        <w:top w:val="none" w:sz="0" w:space="0" w:color="auto"/>
        <w:left w:val="none" w:sz="0" w:space="0" w:color="auto"/>
        <w:bottom w:val="none" w:sz="0" w:space="0" w:color="auto"/>
        <w:right w:val="none" w:sz="0" w:space="0" w:color="auto"/>
      </w:divBdr>
    </w:div>
    <w:div w:id="1501189645">
      <w:bodyDiv w:val="1"/>
      <w:marLeft w:val="0"/>
      <w:marRight w:val="0"/>
      <w:marTop w:val="0"/>
      <w:marBottom w:val="0"/>
      <w:divBdr>
        <w:top w:val="none" w:sz="0" w:space="0" w:color="auto"/>
        <w:left w:val="none" w:sz="0" w:space="0" w:color="auto"/>
        <w:bottom w:val="none" w:sz="0" w:space="0" w:color="auto"/>
        <w:right w:val="none" w:sz="0" w:space="0" w:color="auto"/>
      </w:divBdr>
    </w:div>
    <w:div w:id="1502545367">
      <w:bodyDiv w:val="1"/>
      <w:marLeft w:val="0"/>
      <w:marRight w:val="0"/>
      <w:marTop w:val="0"/>
      <w:marBottom w:val="0"/>
      <w:divBdr>
        <w:top w:val="none" w:sz="0" w:space="0" w:color="auto"/>
        <w:left w:val="none" w:sz="0" w:space="0" w:color="auto"/>
        <w:bottom w:val="none" w:sz="0" w:space="0" w:color="auto"/>
        <w:right w:val="none" w:sz="0" w:space="0" w:color="auto"/>
      </w:divBdr>
    </w:div>
    <w:div w:id="1503469217">
      <w:bodyDiv w:val="1"/>
      <w:marLeft w:val="0"/>
      <w:marRight w:val="0"/>
      <w:marTop w:val="0"/>
      <w:marBottom w:val="0"/>
      <w:divBdr>
        <w:top w:val="none" w:sz="0" w:space="0" w:color="auto"/>
        <w:left w:val="none" w:sz="0" w:space="0" w:color="auto"/>
        <w:bottom w:val="none" w:sz="0" w:space="0" w:color="auto"/>
        <w:right w:val="none" w:sz="0" w:space="0" w:color="auto"/>
      </w:divBdr>
    </w:div>
    <w:div w:id="1515803771">
      <w:bodyDiv w:val="1"/>
      <w:marLeft w:val="0"/>
      <w:marRight w:val="0"/>
      <w:marTop w:val="0"/>
      <w:marBottom w:val="0"/>
      <w:divBdr>
        <w:top w:val="none" w:sz="0" w:space="0" w:color="auto"/>
        <w:left w:val="none" w:sz="0" w:space="0" w:color="auto"/>
        <w:bottom w:val="none" w:sz="0" w:space="0" w:color="auto"/>
        <w:right w:val="none" w:sz="0" w:space="0" w:color="auto"/>
      </w:divBdr>
    </w:div>
    <w:div w:id="1525829912">
      <w:bodyDiv w:val="1"/>
      <w:marLeft w:val="0"/>
      <w:marRight w:val="0"/>
      <w:marTop w:val="0"/>
      <w:marBottom w:val="0"/>
      <w:divBdr>
        <w:top w:val="none" w:sz="0" w:space="0" w:color="auto"/>
        <w:left w:val="none" w:sz="0" w:space="0" w:color="auto"/>
        <w:bottom w:val="none" w:sz="0" w:space="0" w:color="auto"/>
        <w:right w:val="none" w:sz="0" w:space="0" w:color="auto"/>
      </w:divBdr>
    </w:div>
    <w:div w:id="1530415689">
      <w:bodyDiv w:val="1"/>
      <w:marLeft w:val="0"/>
      <w:marRight w:val="0"/>
      <w:marTop w:val="0"/>
      <w:marBottom w:val="0"/>
      <w:divBdr>
        <w:top w:val="none" w:sz="0" w:space="0" w:color="auto"/>
        <w:left w:val="none" w:sz="0" w:space="0" w:color="auto"/>
        <w:bottom w:val="none" w:sz="0" w:space="0" w:color="auto"/>
        <w:right w:val="none" w:sz="0" w:space="0" w:color="auto"/>
      </w:divBdr>
    </w:div>
    <w:div w:id="1535775065">
      <w:bodyDiv w:val="1"/>
      <w:marLeft w:val="0"/>
      <w:marRight w:val="0"/>
      <w:marTop w:val="0"/>
      <w:marBottom w:val="0"/>
      <w:divBdr>
        <w:top w:val="none" w:sz="0" w:space="0" w:color="auto"/>
        <w:left w:val="none" w:sz="0" w:space="0" w:color="auto"/>
        <w:bottom w:val="none" w:sz="0" w:space="0" w:color="auto"/>
        <w:right w:val="none" w:sz="0" w:space="0" w:color="auto"/>
      </w:divBdr>
    </w:div>
    <w:div w:id="1536962796">
      <w:bodyDiv w:val="1"/>
      <w:marLeft w:val="0"/>
      <w:marRight w:val="0"/>
      <w:marTop w:val="0"/>
      <w:marBottom w:val="0"/>
      <w:divBdr>
        <w:top w:val="none" w:sz="0" w:space="0" w:color="auto"/>
        <w:left w:val="none" w:sz="0" w:space="0" w:color="auto"/>
        <w:bottom w:val="none" w:sz="0" w:space="0" w:color="auto"/>
        <w:right w:val="none" w:sz="0" w:space="0" w:color="auto"/>
      </w:divBdr>
    </w:div>
    <w:div w:id="1537618265">
      <w:bodyDiv w:val="1"/>
      <w:marLeft w:val="0"/>
      <w:marRight w:val="0"/>
      <w:marTop w:val="0"/>
      <w:marBottom w:val="0"/>
      <w:divBdr>
        <w:top w:val="none" w:sz="0" w:space="0" w:color="auto"/>
        <w:left w:val="none" w:sz="0" w:space="0" w:color="auto"/>
        <w:bottom w:val="none" w:sz="0" w:space="0" w:color="auto"/>
        <w:right w:val="none" w:sz="0" w:space="0" w:color="auto"/>
      </w:divBdr>
    </w:div>
    <w:div w:id="1538271052">
      <w:bodyDiv w:val="1"/>
      <w:marLeft w:val="0"/>
      <w:marRight w:val="0"/>
      <w:marTop w:val="0"/>
      <w:marBottom w:val="0"/>
      <w:divBdr>
        <w:top w:val="none" w:sz="0" w:space="0" w:color="auto"/>
        <w:left w:val="none" w:sz="0" w:space="0" w:color="auto"/>
        <w:bottom w:val="none" w:sz="0" w:space="0" w:color="auto"/>
        <w:right w:val="none" w:sz="0" w:space="0" w:color="auto"/>
      </w:divBdr>
    </w:div>
    <w:div w:id="1539314544">
      <w:bodyDiv w:val="1"/>
      <w:marLeft w:val="0"/>
      <w:marRight w:val="0"/>
      <w:marTop w:val="0"/>
      <w:marBottom w:val="0"/>
      <w:divBdr>
        <w:top w:val="none" w:sz="0" w:space="0" w:color="auto"/>
        <w:left w:val="none" w:sz="0" w:space="0" w:color="auto"/>
        <w:bottom w:val="none" w:sz="0" w:space="0" w:color="auto"/>
        <w:right w:val="none" w:sz="0" w:space="0" w:color="auto"/>
      </w:divBdr>
    </w:div>
    <w:div w:id="1544639488">
      <w:bodyDiv w:val="1"/>
      <w:marLeft w:val="0"/>
      <w:marRight w:val="0"/>
      <w:marTop w:val="0"/>
      <w:marBottom w:val="0"/>
      <w:divBdr>
        <w:top w:val="none" w:sz="0" w:space="0" w:color="auto"/>
        <w:left w:val="none" w:sz="0" w:space="0" w:color="auto"/>
        <w:bottom w:val="none" w:sz="0" w:space="0" w:color="auto"/>
        <w:right w:val="none" w:sz="0" w:space="0" w:color="auto"/>
      </w:divBdr>
    </w:div>
    <w:div w:id="1552232215">
      <w:bodyDiv w:val="1"/>
      <w:marLeft w:val="0"/>
      <w:marRight w:val="0"/>
      <w:marTop w:val="0"/>
      <w:marBottom w:val="0"/>
      <w:divBdr>
        <w:top w:val="none" w:sz="0" w:space="0" w:color="auto"/>
        <w:left w:val="none" w:sz="0" w:space="0" w:color="auto"/>
        <w:bottom w:val="none" w:sz="0" w:space="0" w:color="auto"/>
        <w:right w:val="none" w:sz="0" w:space="0" w:color="auto"/>
      </w:divBdr>
    </w:div>
    <w:div w:id="1556770176">
      <w:bodyDiv w:val="1"/>
      <w:marLeft w:val="0"/>
      <w:marRight w:val="0"/>
      <w:marTop w:val="0"/>
      <w:marBottom w:val="0"/>
      <w:divBdr>
        <w:top w:val="none" w:sz="0" w:space="0" w:color="auto"/>
        <w:left w:val="none" w:sz="0" w:space="0" w:color="auto"/>
        <w:bottom w:val="none" w:sz="0" w:space="0" w:color="auto"/>
        <w:right w:val="none" w:sz="0" w:space="0" w:color="auto"/>
      </w:divBdr>
    </w:div>
    <w:div w:id="1563101184">
      <w:bodyDiv w:val="1"/>
      <w:marLeft w:val="0"/>
      <w:marRight w:val="0"/>
      <w:marTop w:val="0"/>
      <w:marBottom w:val="0"/>
      <w:divBdr>
        <w:top w:val="none" w:sz="0" w:space="0" w:color="auto"/>
        <w:left w:val="none" w:sz="0" w:space="0" w:color="auto"/>
        <w:bottom w:val="none" w:sz="0" w:space="0" w:color="auto"/>
        <w:right w:val="none" w:sz="0" w:space="0" w:color="auto"/>
      </w:divBdr>
    </w:div>
    <w:div w:id="1564557265">
      <w:bodyDiv w:val="1"/>
      <w:marLeft w:val="0"/>
      <w:marRight w:val="0"/>
      <w:marTop w:val="0"/>
      <w:marBottom w:val="0"/>
      <w:divBdr>
        <w:top w:val="none" w:sz="0" w:space="0" w:color="auto"/>
        <w:left w:val="none" w:sz="0" w:space="0" w:color="auto"/>
        <w:bottom w:val="none" w:sz="0" w:space="0" w:color="auto"/>
        <w:right w:val="none" w:sz="0" w:space="0" w:color="auto"/>
      </w:divBdr>
    </w:div>
    <w:div w:id="1569808356">
      <w:bodyDiv w:val="1"/>
      <w:marLeft w:val="0"/>
      <w:marRight w:val="0"/>
      <w:marTop w:val="0"/>
      <w:marBottom w:val="0"/>
      <w:divBdr>
        <w:top w:val="none" w:sz="0" w:space="0" w:color="auto"/>
        <w:left w:val="none" w:sz="0" w:space="0" w:color="auto"/>
        <w:bottom w:val="none" w:sz="0" w:space="0" w:color="auto"/>
        <w:right w:val="none" w:sz="0" w:space="0" w:color="auto"/>
      </w:divBdr>
    </w:div>
    <w:div w:id="1576238902">
      <w:bodyDiv w:val="1"/>
      <w:marLeft w:val="0"/>
      <w:marRight w:val="0"/>
      <w:marTop w:val="0"/>
      <w:marBottom w:val="0"/>
      <w:divBdr>
        <w:top w:val="none" w:sz="0" w:space="0" w:color="auto"/>
        <w:left w:val="none" w:sz="0" w:space="0" w:color="auto"/>
        <w:bottom w:val="none" w:sz="0" w:space="0" w:color="auto"/>
        <w:right w:val="none" w:sz="0" w:space="0" w:color="auto"/>
      </w:divBdr>
    </w:div>
    <w:div w:id="1580405055">
      <w:bodyDiv w:val="1"/>
      <w:marLeft w:val="0"/>
      <w:marRight w:val="0"/>
      <w:marTop w:val="0"/>
      <w:marBottom w:val="0"/>
      <w:divBdr>
        <w:top w:val="none" w:sz="0" w:space="0" w:color="auto"/>
        <w:left w:val="none" w:sz="0" w:space="0" w:color="auto"/>
        <w:bottom w:val="none" w:sz="0" w:space="0" w:color="auto"/>
        <w:right w:val="none" w:sz="0" w:space="0" w:color="auto"/>
      </w:divBdr>
    </w:div>
    <w:div w:id="1580753020">
      <w:bodyDiv w:val="1"/>
      <w:marLeft w:val="0"/>
      <w:marRight w:val="0"/>
      <w:marTop w:val="0"/>
      <w:marBottom w:val="0"/>
      <w:divBdr>
        <w:top w:val="none" w:sz="0" w:space="0" w:color="auto"/>
        <w:left w:val="none" w:sz="0" w:space="0" w:color="auto"/>
        <w:bottom w:val="none" w:sz="0" w:space="0" w:color="auto"/>
        <w:right w:val="none" w:sz="0" w:space="0" w:color="auto"/>
      </w:divBdr>
    </w:div>
    <w:div w:id="1588805713">
      <w:bodyDiv w:val="1"/>
      <w:marLeft w:val="0"/>
      <w:marRight w:val="0"/>
      <w:marTop w:val="0"/>
      <w:marBottom w:val="0"/>
      <w:divBdr>
        <w:top w:val="none" w:sz="0" w:space="0" w:color="auto"/>
        <w:left w:val="none" w:sz="0" w:space="0" w:color="auto"/>
        <w:bottom w:val="none" w:sz="0" w:space="0" w:color="auto"/>
        <w:right w:val="none" w:sz="0" w:space="0" w:color="auto"/>
      </w:divBdr>
    </w:div>
    <w:div w:id="1591155135">
      <w:bodyDiv w:val="1"/>
      <w:marLeft w:val="0"/>
      <w:marRight w:val="0"/>
      <w:marTop w:val="0"/>
      <w:marBottom w:val="0"/>
      <w:divBdr>
        <w:top w:val="none" w:sz="0" w:space="0" w:color="auto"/>
        <w:left w:val="none" w:sz="0" w:space="0" w:color="auto"/>
        <w:bottom w:val="none" w:sz="0" w:space="0" w:color="auto"/>
        <w:right w:val="none" w:sz="0" w:space="0" w:color="auto"/>
      </w:divBdr>
    </w:div>
    <w:div w:id="1592465617">
      <w:bodyDiv w:val="1"/>
      <w:marLeft w:val="0"/>
      <w:marRight w:val="0"/>
      <w:marTop w:val="0"/>
      <w:marBottom w:val="0"/>
      <w:divBdr>
        <w:top w:val="none" w:sz="0" w:space="0" w:color="auto"/>
        <w:left w:val="none" w:sz="0" w:space="0" w:color="auto"/>
        <w:bottom w:val="none" w:sz="0" w:space="0" w:color="auto"/>
        <w:right w:val="none" w:sz="0" w:space="0" w:color="auto"/>
      </w:divBdr>
    </w:div>
    <w:div w:id="1606034084">
      <w:bodyDiv w:val="1"/>
      <w:marLeft w:val="0"/>
      <w:marRight w:val="0"/>
      <w:marTop w:val="0"/>
      <w:marBottom w:val="0"/>
      <w:divBdr>
        <w:top w:val="none" w:sz="0" w:space="0" w:color="auto"/>
        <w:left w:val="none" w:sz="0" w:space="0" w:color="auto"/>
        <w:bottom w:val="none" w:sz="0" w:space="0" w:color="auto"/>
        <w:right w:val="none" w:sz="0" w:space="0" w:color="auto"/>
      </w:divBdr>
    </w:div>
    <w:div w:id="1608350299">
      <w:bodyDiv w:val="1"/>
      <w:marLeft w:val="0"/>
      <w:marRight w:val="0"/>
      <w:marTop w:val="0"/>
      <w:marBottom w:val="0"/>
      <w:divBdr>
        <w:top w:val="none" w:sz="0" w:space="0" w:color="auto"/>
        <w:left w:val="none" w:sz="0" w:space="0" w:color="auto"/>
        <w:bottom w:val="none" w:sz="0" w:space="0" w:color="auto"/>
        <w:right w:val="none" w:sz="0" w:space="0" w:color="auto"/>
      </w:divBdr>
    </w:div>
    <w:div w:id="1609658859">
      <w:bodyDiv w:val="1"/>
      <w:marLeft w:val="0"/>
      <w:marRight w:val="0"/>
      <w:marTop w:val="0"/>
      <w:marBottom w:val="0"/>
      <w:divBdr>
        <w:top w:val="none" w:sz="0" w:space="0" w:color="auto"/>
        <w:left w:val="none" w:sz="0" w:space="0" w:color="auto"/>
        <w:bottom w:val="none" w:sz="0" w:space="0" w:color="auto"/>
        <w:right w:val="none" w:sz="0" w:space="0" w:color="auto"/>
      </w:divBdr>
    </w:div>
    <w:div w:id="1612318416">
      <w:bodyDiv w:val="1"/>
      <w:marLeft w:val="0"/>
      <w:marRight w:val="0"/>
      <w:marTop w:val="0"/>
      <w:marBottom w:val="0"/>
      <w:divBdr>
        <w:top w:val="none" w:sz="0" w:space="0" w:color="auto"/>
        <w:left w:val="none" w:sz="0" w:space="0" w:color="auto"/>
        <w:bottom w:val="none" w:sz="0" w:space="0" w:color="auto"/>
        <w:right w:val="none" w:sz="0" w:space="0" w:color="auto"/>
      </w:divBdr>
    </w:div>
    <w:div w:id="1613896493">
      <w:bodyDiv w:val="1"/>
      <w:marLeft w:val="0"/>
      <w:marRight w:val="0"/>
      <w:marTop w:val="0"/>
      <w:marBottom w:val="0"/>
      <w:divBdr>
        <w:top w:val="none" w:sz="0" w:space="0" w:color="auto"/>
        <w:left w:val="none" w:sz="0" w:space="0" w:color="auto"/>
        <w:bottom w:val="none" w:sz="0" w:space="0" w:color="auto"/>
        <w:right w:val="none" w:sz="0" w:space="0" w:color="auto"/>
      </w:divBdr>
    </w:div>
    <w:div w:id="1620989150">
      <w:bodyDiv w:val="1"/>
      <w:marLeft w:val="0"/>
      <w:marRight w:val="0"/>
      <w:marTop w:val="0"/>
      <w:marBottom w:val="0"/>
      <w:divBdr>
        <w:top w:val="none" w:sz="0" w:space="0" w:color="auto"/>
        <w:left w:val="none" w:sz="0" w:space="0" w:color="auto"/>
        <w:bottom w:val="none" w:sz="0" w:space="0" w:color="auto"/>
        <w:right w:val="none" w:sz="0" w:space="0" w:color="auto"/>
      </w:divBdr>
    </w:div>
    <w:div w:id="1628194409">
      <w:bodyDiv w:val="1"/>
      <w:marLeft w:val="0"/>
      <w:marRight w:val="0"/>
      <w:marTop w:val="0"/>
      <w:marBottom w:val="0"/>
      <w:divBdr>
        <w:top w:val="none" w:sz="0" w:space="0" w:color="auto"/>
        <w:left w:val="none" w:sz="0" w:space="0" w:color="auto"/>
        <w:bottom w:val="none" w:sz="0" w:space="0" w:color="auto"/>
        <w:right w:val="none" w:sz="0" w:space="0" w:color="auto"/>
      </w:divBdr>
    </w:div>
    <w:div w:id="1629435818">
      <w:bodyDiv w:val="1"/>
      <w:marLeft w:val="0"/>
      <w:marRight w:val="0"/>
      <w:marTop w:val="0"/>
      <w:marBottom w:val="0"/>
      <w:divBdr>
        <w:top w:val="none" w:sz="0" w:space="0" w:color="auto"/>
        <w:left w:val="none" w:sz="0" w:space="0" w:color="auto"/>
        <w:bottom w:val="none" w:sz="0" w:space="0" w:color="auto"/>
        <w:right w:val="none" w:sz="0" w:space="0" w:color="auto"/>
      </w:divBdr>
    </w:div>
    <w:div w:id="1639064752">
      <w:bodyDiv w:val="1"/>
      <w:marLeft w:val="0"/>
      <w:marRight w:val="0"/>
      <w:marTop w:val="0"/>
      <w:marBottom w:val="0"/>
      <w:divBdr>
        <w:top w:val="none" w:sz="0" w:space="0" w:color="auto"/>
        <w:left w:val="none" w:sz="0" w:space="0" w:color="auto"/>
        <w:bottom w:val="none" w:sz="0" w:space="0" w:color="auto"/>
        <w:right w:val="none" w:sz="0" w:space="0" w:color="auto"/>
      </w:divBdr>
    </w:div>
    <w:div w:id="1648318309">
      <w:bodyDiv w:val="1"/>
      <w:marLeft w:val="0"/>
      <w:marRight w:val="0"/>
      <w:marTop w:val="0"/>
      <w:marBottom w:val="0"/>
      <w:divBdr>
        <w:top w:val="none" w:sz="0" w:space="0" w:color="auto"/>
        <w:left w:val="none" w:sz="0" w:space="0" w:color="auto"/>
        <w:bottom w:val="none" w:sz="0" w:space="0" w:color="auto"/>
        <w:right w:val="none" w:sz="0" w:space="0" w:color="auto"/>
      </w:divBdr>
    </w:div>
    <w:div w:id="1655836732">
      <w:bodyDiv w:val="1"/>
      <w:marLeft w:val="0"/>
      <w:marRight w:val="0"/>
      <w:marTop w:val="0"/>
      <w:marBottom w:val="0"/>
      <w:divBdr>
        <w:top w:val="none" w:sz="0" w:space="0" w:color="auto"/>
        <w:left w:val="none" w:sz="0" w:space="0" w:color="auto"/>
        <w:bottom w:val="none" w:sz="0" w:space="0" w:color="auto"/>
        <w:right w:val="none" w:sz="0" w:space="0" w:color="auto"/>
      </w:divBdr>
    </w:div>
    <w:div w:id="1670522588">
      <w:bodyDiv w:val="1"/>
      <w:marLeft w:val="0"/>
      <w:marRight w:val="0"/>
      <w:marTop w:val="0"/>
      <w:marBottom w:val="0"/>
      <w:divBdr>
        <w:top w:val="none" w:sz="0" w:space="0" w:color="auto"/>
        <w:left w:val="none" w:sz="0" w:space="0" w:color="auto"/>
        <w:bottom w:val="none" w:sz="0" w:space="0" w:color="auto"/>
        <w:right w:val="none" w:sz="0" w:space="0" w:color="auto"/>
      </w:divBdr>
    </w:div>
    <w:div w:id="1674529351">
      <w:bodyDiv w:val="1"/>
      <w:marLeft w:val="0"/>
      <w:marRight w:val="0"/>
      <w:marTop w:val="0"/>
      <w:marBottom w:val="0"/>
      <w:divBdr>
        <w:top w:val="none" w:sz="0" w:space="0" w:color="auto"/>
        <w:left w:val="none" w:sz="0" w:space="0" w:color="auto"/>
        <w:bottom w:val="none" w:sz="0" w:space="0" w:color="auto"/>
        <w:right w:val="none" w:sz="0" w:space="0" w:color="auto"/>
      </w:divBdr>
    </w:div>
    <w:div w:id="1678389224">
      <w:bodyDiv w:val="1"/>
      <w:marLeft w:val="0"/>
      <w:marRight w:val="0"/>
      <w:marTop w:val="0"/>
      <w:marBottom w:val="0"/>
      <w:divBdr>
        <w:top w:val="none" w:sz="0" w:space="0" w:color="auto"/>
        <w:left w:val="none" w:sz="0" w:space="0" w:color="auto"/>
        <w:bottom w:val="none" w:sz="0" w:space="0" w:color="auto"/>
        <w:right w:val="none" w:sz="0" w:space="0" w:color="auto"/>
      </w:divBdr>
    </w:div>
    <w:div w:id="1681004036">
      <w:bodyDiv w:val="1"/>
      <w:marLeft w:val="0"/>
      <w:marRight w:val="0"/>
      <w:marTop w:val="0"/>
      <w:marBottom w:val="0"/>
      <w:divBdr>
        <w:top w:val="none" w:sz="0" w:space="0" w:color="auto"/>
        <w:left w:val="none" w:sz="0" w:space="0" w:color="auto"/>
        <w:bottom w:val="none" w:sz="0" w:space="0" w:color="auto"/>
        <w:right w:val="none" w:sz="0" w:space="0" w:color="auto"/>
      </w:divBdr>
    </w:div>
    <w:div w:id="1683239950">
      <w:bodyDiv w:val="1"/>
      <w:marLeft w:val="0"/>
      <w:marRight w:val="0"/>
      <w:marTop w:val="0"/>
      <w:marBottom w:val="0"/>
      <w:divBdr>
        <w:top w:val="none" w:sz="0" w:space="0" w:color="auto"/>
        <w:left w:val="none" w:sz="0" w:space="0" w:color="auto"/>
        <w:bottom w:val="none" w:sz="0" w:space="0" w:color="auto"/>
        <w:right w:val="none" w:sz="0" w:space="0" w:color="auto"/>
      </w:divBdr>
    </w:div>
    <w:div w:id="1694575868">
      <w:bodyDiv w:val="1"/>
      <w:marLeft w:val="0"/>
      <w:marRight w:val="0"/>
      <w:marTop w:val="0"/>
      <w:marBottom w:val="0"/>
      <w:divBdr>
        <w:top w:val="none" w:sz="0" w:space="0" w:color="auto"/>
        <w:left w:val="none" w:sz="0" w:space="0" w:color="auto"/>
        <w:bottom w:val="none" w:sz="0" w:space="0" w:color="auto"/>
        <w:right w:val="none" w:sz="0" w:space="0" w:color="auto"/>
      </w:divBdr>
    </w:div>
    <w:div w:id="1694695966">
      <w:bodyDiv w:val="1"/>
      <w:marLeft w:val="0"/>
      <w:marRight w:val="0"/>
      <w:marTop w:val="0"/>
      <w:marBottom w:val="0"/>
      <w:divBdr>
        <w:top w:val="none" w:sz="0" w:space="0" w:color="auto"/>
        <w:left w:val="none" w:sz="0" w:space="0" w:color="auto"/>
        <w:bottom w:val="none" w:sz="0" w:space="0" w:color="auto"/>
        <w:right w:val="none" w:sz="0" w:space="0" w:color="auto"/>
      </w:divBdr>
    </w:div>
    <w:div w:id="1695765712">
      <w:bodyDiv w:val="1"/>
      <w:marLeft w:val="0"/>
      <w:marRight w:val="0"/>
      <w:marTop w:val="0"/>
      <w:marBottom w:val="0"/>
      <w:divBdr>
        <w:top w:val="none" w:sz="0" w:space="0" w:color="auto"/>
        <w:left w:val="none" w:sz="0" w:space="0" w:color="auto"/>
        <w:bottom w:val="none" w:sz="0" w:space="0" w:color="auto"/>
        <w:right w:val="none" w:sz="0" w:space="0" w:color="auto"/>
      </w:divBdr>
    </w:div>
    <w:div w:id="1700667208">
      <w:bodyDiv w:val="1"/>
      <w:marLeft w:val="0"/>
      <w:marRight w:val="0"/>
      <w:marTop w:val="0"/>
      <w:marBottom w:val="0"/>
      <w:divBdr>
        <w:top w:val="none" w:sz="0" w:space="0" w:color="auto"/>
        <w:left w:val="none" w:sz="0" w:space="0" w:color="auto"/>
        <w:bottom w:val="none" w:sz="0" w:space="0" w:color="auto"/>
        <w:right w:val="none" w:sz="0" w:space="0" w:color="auto"/>
      </w:divBdr>
    </w:div>
    <w:div w:id="1702705152">
      <w:bodyDiv w:val="1"/>
      <w:marLeft w:val="0"/>
      <w:marRight w:val="0"/>
      <w:marTop w:val="0"/>
      <w:marBottom w:val="0"/>
      <w:divBdr>
        <w:top w:val="none" w:sz="0" w:space="0" w:color="auto"/>
        <w:left w:val="none" w:sz="0" w:space="0" w:color="auto"/>
        <w:bottom w:val="none" w:sz="0" w:space="0" w:color="auto"/>
        <w:right w:val="none" w:sz="0" w:space="0" w:color="auto"/>
      </w:divBdr>
    </w:div>
    <w:div w:id="1708263401">
      <w:bodyDiv w:val="1"/>
      <w:marLeft w:val="0"/>
      <w:marRight w:val="0"/>
      <w:marTop w:val="0"/>
      <w:marBottom w:val="0"/>
      <w:divBdr>
        <w:top w:val="none" w:sz="0" w:space="0" w:color="auto"/>
        <w:left w:val="none" w:sz="0" w:space="0" w:color="auto"/>
        <w:bottom w:val="none" w:sz="0" w:space="0" w:color="auto"/>
        <w:right w:val="none" w:sz="0" w:space="0" w:color="auto"/>
      </w:divBdr>
    </w:div>
    <w:div w:id="1710370848">
      <w:bodyDiv w:val="1"/>
      <w:marLeft w:val="0"/>
      <w:marRight w:val="0"/>
      <w:marTop w:val="0"/>
      <w:marBottom w:val="0"/>
      <w:divBdr>
        <w:top w:val="none" w:sz="0" w:space="0" w:color="auto"/>
        <w:left w:val="none" w:sz="0" w:space="0" w:color="auto"/>
        <w:bottom w:val="none" w:sz="0" w:space="0" w:color="auto"/>
        <w:right w:val="none" w:sz="0" w:space="0" w:color="auto"/>
      </w:divBdr>
    </w:div>
    <w:div w:id="1724912139">
      <w:bodyDiv w:val="1"/>
      <w:marLeft w:val="0"/>
      <w:marRight w:val="0"/>
      <w:marTop w:val="0"/>
      <w:marBottom w:val="0"/>
      <w:divBdr>
        <w:top w:val="none" w:sz="0" w:space="0" w:color="auto"/>
        <w:left w:val="none" w:sz="0" w:space="0" w:color="auto"/>
        <w:bottom w:val="none" w:sz="0" w:space="0" w:color="auto"/>
        <w:right w:val="none" w:sz="0" w:space="0" w:color="auto"/>
      </w:divBdr>
    </w:div>
    <w:div w:id="1728724589">
      <w:bodyDiv w:val="1"/>
      <w:marLeft w:val="0"/>
      <w:marRight w:val="0"/>
      <w:marTop w:val="0"/>
      <w:marBottom w:val="0"/>
      <w:divBdr>
        <w:top w:val="none" w:sz="0" w:space="0" w:color="auto"/>
        <w:left w:val="none" w:sz="0" w:space="0" w:color="auto"/>
        <w:bottom w:val="none" w:sz="0" w:space="0" w:color="auto"/>
        <w:right w:val="none" w:sz="0" w:space="0" w:color="auto"/>
      </w:divBdr>
    </w:div>
    <w:div w:id="1744907931">
      <w:bodyDiv w:val="1"/>
      <w:marLeft w:val="0"/>
      <w:marRight w:val="0"/>
      <w:marTop w:val="0"/>
      <w:marBottom w:val="0"/>
      <w:divBdr>
        <w:top w:val="none" w:sz="0" w:space="0" w:color="auto"/>
        <w:left w:val="none" w:sz="0" w:space="0" w:color="auto"/>
        <w:bottom w:val="none" w:sz="0" w:space="0" w:color="auto"/>
        <w:right w:val="none" w:sz="0" w:space="0" w:color="auto"/>
      </w:divBdr>
    </w:div>
    <w:div w:id="1748765009">
      <w:bodyDiv w:val="1"/>
      <w:marLeft w:val="0"/>
      <w:marRight w:val="0"/>
      <w:marTop w:val="0"/>
      <w:marBottom w:val="0"/>
      <w:divBdr>
        <w:top w:val="none" w:sz="0" w:space="0" w:color="auto"/>
        <w:left w:val="none" w:sz="0" w:space="0" w:color="auto"/>
        <w:bottom w:val="none" w:sz="0" w:space="0" w:color="auto"/>
        <w:right w:val="none" w:sz="0" w:space="0" w:color="auto"/>
      </w:divBdr>
    </w:div>
    <w:div w:id="1749768219">
      <w:bodyDiv w:val="1"/>
      <w:marLeft w:val="0"/>
      <w:marRight w:val="0"/>
      <w:marTop w:val="0"/>
      <w:marBottom w:val="0"/>
      <w:divBdr>
        <w:top w:val="none" w:sz="0" w:space="0" w:color="auto"/>
        <w:left w:val="none" w:sz="0" w:space="0" w:color="auto"/>
        <w:bottom w:val="none" w:sz="0" w:space="0" w:color="auto"/>
        <w:right w:val="none" w:sz="0" w:space="0" w:color="auto"/>
      </w:divBdr>
    </w:div>
    <w:div w:id="1752193402">
      <w:bodyDiv w:val="1"/>
      <w:marLeft w:val="0"/>
      <w:marRight w:val="0"/>
      <w:marTop w:val="0"/>
      <w:marBottom w:val="0"/>
      <w:divBdr>
        <w:top w:val="none" w:sz="0" w:space="0" w:color="auto"/>
        <w:left w:val="none" w:sz="0" w:space="0" w:color="auto"/>
        <w:bottom w:val="none" w:sz="0" w:space="0" w:color="auto"/>
        <w:right w:val="none" w:sz="0" w:space="0" w:color="auto"/>
      </w:divBdr>
    </w:div>
    <w:div w:id="1752459368">
      <w:bodyDiv w:val="1"/>
      <w:marLeft w:val="0"/>
      <w:marRight w:val="0"/>
      <w:marTop w:val="0"/>
      <w:marBottom w:val="0"/>
      <w:divBdr>
        <w:top w:val="none" w:sz="0" w:space="0" w:color="auto"/>
        <w:left w:val="none" w:sz="0" w:space="0" w:color="auto"/>
        <w:bottom w:val="none" w:sz="0" w:space="0" w:color="auto"/>
        <w:right w:val="none" w:sz="0" w:space="0" w:color="auto"/>
      </w:divBdr>
    </w:div>
    <w:div w:id="1756706136">
      <w:bodyDiv w:val="1"/>
      <w:marLeft w:val="0"/>
      <w:marRight w:val="0"/>
      <w:marTop w:val="0"/>
      <w:marBottom w:val="0"/>
      <w:divBdr>
        <w:top w:val="none" w:sz="0" w:space="0" w:color="auto"/>
        <w:left w:val="none" w:sz="0" w:space="0" w:color="auto"/>
        <w:bottom w:val="none" w:sz="0" w:space="0" w:color="auto"/>
        <w:right w:val="none" w:sz="0" w:space="0" w:color="auto"/>
      </w:divBdr>
    </w:div>
    <w:div w:id="1758938402">
      <w:bodyDiv w:val="1"/>
      <w:marLeft w:val="0"/>
      <w:marRight w:val="0"/>
      <w:marTop w:val="0"/>
      <w:marBottom w:val="0"/>
      <w:divBdr>
        <w:top w:val="none" w:sz="0" w:space="0" w:color="auto"/>
        <w:left w:val="none" w:sz="0" w:space="0" w:color="auto"/>
        <w:bottom w:val="none" w:sz="0" w:space="0" w:color="auto"/>
        <w:right w:val="none" w:sz="0" w:space="0" w:color="auto"/>
      </w:divBdr>
    </w:div>
    <w:div w:id="1759982245">
      <w:bodyDiv w:val="1"/>
      <w:marLeft w:val="0"/>
      <w:marRight w:val="0"/>
      <w:marTop w:val="0"/>
      <w:marBottom w:val="0"/>
      <w:divBdr>
        <w:top w:val="none" w:sz="0" w:space="0" w:color="auto"/>
        <w:left w:val="none" w:sz="0" w:space="0" w:color="auto"/>
        <w:bottom w:val="none" w:sz="0" w:space="0" w:color="auto"/>
        <w:right w:val="none" w:sz="0" w:space="0" w:color="auto"/>
      </w:divBdr>
    </w:div>
    <w:div w:id="1767070066">
      <w:bodyDiv w:val="1"/>
      <w:marLeft w:val="0"/>
      <w:marRight w:val="0"/>
      <w:marTop w:val="0"/>
      <w:marBottom w:val="0"/>
      <w:divBdr>
        <w:top w:val="none" w:sz="0" w:space="0" w:color="auto"/>
        <w:left w:val="none" w:sz="0" w:space="0" w:color="auto"/>
        <w:bottom w:val="none" w:sz="0" w:space="0" w:color="auto"/>
        <w:right w:val="none" w:sz="0" w:space="0" w:color="auto"/>
      </w:divBdr>
    </w:div>
    <w:div w:id="1767920605">
      <w:bodyDiv w:val="1"/>
      <w:marLeft w:val="0"/>
      <w:marRight w:val="0"/>
      <w:marTop w:val="0"/>
      <w:marBottom w:val="0"/>
      <w:divBdr>
        <w:top w:val="none" w:sz="0" w:space="0" w:color="auto"/>
        <w:left w:val="none" w:sz="0" w:space="0" w:color="auto"/>
        <w:bottom w:val="none" w:sz="0" w:space="0" w:color="auto"/>
        <w:right w:val="none" w:sz="0" w:space="0" w:color="auto"/>
      </w:divBdr>
    </w:div>
    <w:div w:id="1769697136">
      <w:bodyDiv w:val="1"/>
      <w:marLeft w:val="0"/>
      <w:marRight w:val="0"/>
      <w:marTop w:val="0"/>
      <w:marBottom w:val="0"/>
      <w:divBdr>
        <w:top w:val="none" w:sz="0" w:space="0" w:color="auto"/>
        <w:left w:val="none" w:sz="0" w:space="0" w:color="auto"/>
        <w:bottom w:val="none" w:sz="0" w:space="0" w:color="auto"/>
        <w:right w:val="none" w:sz="0" w:space="0" w:color="auto"/>
      </w:divBdr>
    </w:div>
    <w:div w:id="1771003123">
      <w:bodyDiv w:val="1"/>
      <w:marLeft w:val="0"/>
      <w:marRight w:val="0"/>
      <w:marTop w:val="0"/>
      <w:marBottom w:val="0"/>
      <w:divBdr>
        <w:top w:val="none" w:sz="0" w:space="0" w:color="auto"/>
        <w:left w:val="none" w:sz="0" w:space="0" w:color="auto"/>
        <w:bottom w:val="none" w:sz="0" w:space="0" w:color="auto"/>
        <w:right w:val="none" w:sz="0" w:space="0" w:color="auto"/>
      </w:divBdr>
    </w:div>
    <w:div w:id="1773623530">
      <w:bodyDiv w:val="1"/>
      <w:marLeft w:val="0"/>
      <w:marRight w:val="0"/>
      <w:marTop w:val="0"/>
      <w:marBottom w:val="0"/>
      <w:divBdr>
        <w:top w:val="none" w:sz="0" w:space="0" w:color="auto"/>
        <w:left w:val="none" w:sz="0" w:space="0" w:color="auto"/>
        <w:bottom w:val="none" w:sz="0" w:space="0" w:color="auto"/>
        <w:right w:val="none" w:sz="0" w:space="0" w:color="auto"/>
      </w:divBdr>
    </w:div>
    <w:div w:id="1774978950">
      <w:bodyDiv w:val="1"/>
      <w:marLeft w:val="0"/>
      <w:marRight w:val="0"/>
      <w:marTop w:val="0"/>
      <w:marBottom w:val="0"/>
      <w:divBdr>
        <w:top w:val="none" w:sz="0" w:space="0" w:color="auto"/>
        <w:left w:val="none" w:sz="0" w:space="0" w:color="auto"/>
        <w:bottom w:val="none" w:sz="0" w:space="0" w:color="auto"/>
        <w:right w:val="none" w:sz="0" w:space="0" w:color="auto"/>
      </w:divBdr>
    </w:div>
    <w:div w:id="1775401028">
      <w:bodyDiv w:val="1"/>
      <w:marLeft w:val="0"/>
      <w:marRight w:val="0"/>
      <w:marTop w:val="0"/>
      <w:marBottom w:val="0"/>
      <w:divBdr>
        <w:top w:val="none" w:sz="0" w:space="0" w:color="auto"/>
        <w:left w:val="none" w:sz="0" w:space="0" w:color="auto"/>
        <w:bottom w:val="none" w:sz="0" w:space="0" w:color="auto"/>
        <w:right w:val="none" w:sz="0" w:space="0" w:color="auto"/>
      </w:divBdr>
    </w:div>
    <w:div w:id="1775637098">
      <w:bodyDiv w:val="1"/>
      <w:marLeft w:val="0"/>
      <w:marRight w:val="0"/>
      <w:marTop w:val="0"/>
      <w:marBottom w:val="0"/>
      <w:divBdr>
        <w:top w:val="none" w:sz="0" w:space="0" w:color="auto"/>
        <w:left w:val="none" w:sz="0" w:space="0" w:color="auto"/>
        <w:bottom w:val="none" w:sz="0" w:space="0" w:color="auto"/>
        <w:right w:val="none" w:sz="0" w:space="0" w:color="auto"/>
      </w:divBdr>
    </w:div>
    <w:div w:id="1776051379">
      <w:bodyDiv w:val="1"/>
      <w:marLeft w:val="0"/>
      <w:marRight w:val="0"/>
      <w:marTop w:val="0"/>
      <w:marBottom w:val="0"/>
      <w:divBdr>
        <w:top w:val="none" w:sz="0" w:space="0" w:color="auto"/>
        <w:left w:val="none" w:sz="0" w:space="0" w:color="auto"/>
        <w:bottom w:val="none" w:sz="0" w:space="0" w:color="auto"/>
        <w:right w:val="none" w:sz="0" w:space="0" w:color="auto"/>
      </w:divBdr>
    </w:div>
    <w:div w:id="1779180131">
      <w:bodyDiv w:val="1"/>
      <w:marLeft w:val="0"/>
      <w:marRight w:val="0"/>
      <w:marTop w:val="0"/>
      <w:marBottom w:val="0"/>
      <w:divBdr>
        <w:top w:val="none" w:sz="0" w:space="0" w:color="auto"/>
        <w:left w:val="none" w:sz="0" w:space="0" w:color="auto"/>
        <w:bottom w:val="none" w:sz="0" w:space="0" w:color="auto"/>
        <w:right w:val="none" w:sz="0" w:space="0" w:color="auto"/>
      </w:divBdr>
    </w:div>
    <w:div w:id="1780417153">
      <w:bodyDiv w:val="1"/>
      <w:marLeft w:val="0"/>
      <w:marRight w:val="0"/>
      <w:marTop w:val="0"/>
      <w:marBottom w:val="0"/>
      <w:divBdr>
        <w:top w:val="none" w:sz="0" w:space="0" w:color="auto"/>
        <w:left w:val="none" w:sz="0" w:space="0" w:color="auto"/>
        <w:bottom w:val="none" w:sz="0" w:space="0" w:color="auto"/>
        <w:right w:val="none" w:sz="0" w:space="0" w:color="auto"/>
      </w:divBdr>
    </w:div>
    <w:div w:id="1780681134">
      <w:bodyDiv w:val="1"/>
      <w:marLeft w:val="0"/>
      <w:marRight w:val="0"/>
      <w:marTop w:val="0"/>
      <w:marBottom w:val="0"/>
      <w:divBdr>
        <w:top w:val="none" w:sz="0" w:space="0" w:color="auto"/>
        <w:left w:val="none" w:sz="0" w:space="0" w:color="auto"/>
        <w:bottom w:val="none" w:sz="0" w:space="0" w:color="auto"/>
        <w:right w:val="none" w:sz="0" w:space="0" w:color="auto"/>
      </w:divBdr>
    </w:div>
    <w:div w:id="1784692410">
      <w:bodyDiv w:val="1"/>
      <w:marLeft w:val="0"/>
      <w:marRight w:val="0"/>
      <w:marTop w:val="0"/>
      <w:marBottom w:val="0"/>
      <w:divBdr>
        <w:top w:val="none" w:sz="0" w:space="0" w:color="auto"/>
        <w:left w:val="none" w:sz="0" w:space="0" w:color="auto"/>
        <w:bottom w:val="none" w:sz="0" w:space="0" w:color="auto"/>
        <w:right w:val="none" w:sz="0" w:space="0" w:color="auto"/>
      </w:divBdr>
    </w:div>
    <w:div w:id="1787235162">
      <w:bodyDiv w:val="1"/>
      <w:marLeft w:val="0"/>
      <w:marRight w:val="0"/>
      <w:marTop w:val="0"/>
      <w:marBottom w:val="0"/>
      <w:divBdr>
        <w:top w:val="none" w:sz="0" w:space="0" w:color="auto"/>
        <w:left w:val="none" w:sz="0" w:space="0" w:color="auto"/>
        <w:bottom w:val="none" w:sz="0" w:space="0" w:color="auto"/>
        <w:right w:val="none" w:sz="0" w:space="0" w:color="auto"/>
      </w:divBdr>
    </w:div>
    <w:div w:id="1789861086">
      <w:bodyDiv w:val="1"/>
      <w:marLeft w:val="0"/>
      <w:marRight w:val="0"/>
      <w:marTop w:val="0"/>
      <w:marBottom w:val="0"/>
      <w:divBdr>
        <w:top w:val="none" w:sz="0" w:space="0" w:color="auto"/>
        <w:left w:val="none" w:sz="0" w:space="0" w:color="auto"/>
        <w:bottom w:val="none" w:sz="0" w:space="0" w:color="auto"/>
        <w:right w:val="none" w:sz="0" w:space="0" w:color="auto"/>
      </w:divBdr>
    </w:div>
    <w:div w:id="1793594485">
      <w:bodyDiv w:val="1"/>
      <w:marLeft w:val="0"/>
      <w:marRight w:val="0"/>
      <w:marTop w:val="0"/>
      <w:marBottom w:val="0"/>
      <w:divBdr>
        <w:top w:val="none" w:sz="0" w:space="0" w:color="auto"/>
        <w:left w:val="none" w:sz="0" w:space="0" w:color="auto"/>
        <w:bottom w:val="none" w:sz="0" w:space="0" w:color="auto"/>
        <w:right w:val="none" w:sz="0" w:space="0" w:color="auto"/>
      </w:divBdr>
    </w:div>
    <w:div w:id="1794054470">
      <w:bodyDiv w:val="1"/>
      <w:marLeft w:val="0"/>
      <w:marRight w:val="0"/>
      <w:marTop w:val="0"/>
      <w:marBottom w:val="0"/>
      <w:divBdr>
        <w:top w:val="none" w:sz="0" w:space="0" w:color="auto"/>
        <w:left w:val="none" w:sz="0" w:space="0" w:color="auto"/>
        <w:bottom w:val="none" w:sz="0" w:space="0" w:color="auto"/>
        <w:right w:val="none" w:sz="0" w:space="0" w:color="auto"/>
      </w:divBdr>
    </w:div>
    <w:div w:id="1796216277">
      <w:bodyDiv w:val="1"/>
      <w:marLeft w:val="0"/>
      <w:marRight w:val="0"/>
      <w:marTop w:val="0"/>
      <w:marBottom w:val="0"/>
      <w:divBdr>
        <w:top w:val="none" w:sz="0" w:space="0" w:color="auto"/>
        <w:left w:val="none" w:sz="0" w:space="0" w:color="auto"/>
        <w:bottom w:val="none" w:sz="0" w:space="0" w:color="auto"/>
        <w:right w:val="none" w:sz="0" w:space="0" w:color="auto"/>
      </w:divBdr>
    </w:div>
    <w:div w:id="1796370764">
      <w:bodyDiv w:val="1"/>
      <w:marLeft w:val="0"/>
      <w:marRight w:val="0"/>
      <w:marTop w:val="0"/>
      <w:marBottom w:val="0"/>
      <w:divBdr>
        <w:top w:val="none" w:sz="0" w:space="0" w:color="auto"/>
        <w:left w:val="none" w:sz="0" w:space="0" w:color="auto"/>
        <w:bottom w:val="none" w:sz="0" w:space="0" w:color="auto"/>
        <w:right w:val="none" w:sz="0" w:space="0" w:color="auto"/>
      </w:divBdr>
    </w:div>
    <w:div w:id="1796674686">
      <w:bodyDiv w:val="1"/>
      <w:marLeft w:val="0"/>
      <w:marRight w:val="0"/>
      <w:marTop w:val="0"/>
      <w:marBottom w:val="0"/>
      <w:divBdr>
        <w:top w:val="none" w:sz="0" w:space="0" w:color="auto"/>
        <w:left w:val="none" w:sz="0" w:space="0" w:color="auto"/>
        <w:bottom w:val="none" w:sz="0" w:space="0" w:color="auto"/>
        <w:right w:val="none" w:sz="0" w:space="0" w:color="auto"/>
      </w:divBdr>
    </w:div>
    <w:div w:id="1797406291">
      <w:bodyDiv w:val="1"/>
      <w:marLeft w:val="0"/>
      <w:marRight w:val="0"/>
      <w:marTop w:val="0"/>
      <w:marBottom w:val="0"/>
      <w:divBdr>
        <w:top w:val="none" w:sz="0" w:space="0" w:color="auto"/>
        <w:left w:val="none" w:sz="0" w:space="0" w:color="auto"/>
        <w:bottom w:val="none" w:sz="0" w:space="0" w:color="auto"/>
        <w:right w:val="none" w:sz="0" w:space="0" w:color="auto"/>
      </w:divBdr>
    </w:div>
    <w:div w:id="1798142069">
      <w:bodyDiv w:val="1"/>
      <w:marLeft w:val="0"/>
      <w:marRight w:val="0"/>
      <w:marTop w:val="0"/>
      <w:marBottom w:val="0"/>
      <w:divBdr>
        <w:top w:val="none" w:sz="0" w:space="0" w:color="auto"/>
        <w:left w:val="none" w:sz="0" w:space="0" w:color="auto"/>
        <w:bottom w:val="none" w:sz="0" w:space="0" w:color="auto"/>
        <w:right w:val="none" w:sz="0" w:space="0" w:color="auto"/>
      </w:divBdr>
    </w:div>
    <w:div w:id="1816992782">
      <w:bodyDiv w:val="1"/>
      <w:marLeft w:val="0"/>
      <w:marRight w:val="0"/>
      <w:marTop w:val="0"/>
      <w:marBottom w:val="0"/>
      <w:divBdr>
        <w:top w:val="none" w:sz="0" w:space="0" w:color="auto"/>
        <w:left w:val="none" w:sz="0" w:space="0" w:color="auto"/>
        <w:bottom w:val="none" w:sz="0" w:space="0" w:color="auto"/>
        <w:right w:val="none" w:sz="0" w:space="0" w:color="auto"/>
      </w:divBdr>
    </w:div>
    <w:div w:id="1823230627">
      <w:bodyDiv w:val="1"/>
      <w:marLeft w:val="0"/>
      <w:marRight w:val="0"/>
      <w:marTop w:val="0"/>
      <w:marBottom w:val="0"/>
      <w:divBdr>
        <w:top w:val="none" w:sz="0" w:space="0" w:color="auto"/>
        <w:left w:val="none" w:sz="0" w:space="0" w:color="auto"/>
        <w:bottom w:val="none" w:sz="0" w:space="0" w:color="auto"/>
        <w:right w:val="none" w:sz="0" w:space="0" w:color="auto"/>
      </w:divBdr>
    </w:div>
    <w:div w:id="1833980920">
      <w:bodyDiv w:val="1"/>
      <w:marLeft w:val="0"/>
      <w:marRight w:val="0"/>
      <w:marTop w:val="0"/>
      <w:marBottom w:val="0"/>
      <w:divBdr>
        <w:top w:val="none" w:sz="0" w:space="0" w:color="auto"/>
        <w:left w:val="none" w:sz="0" w:space="0" w:color="auto"/>
        <w:bottom w:val="none" w:sz="0" w:space="0" w:color="auto"/>
        <w:right w:val="none" w:sz="0" w:space="0" w:color="auto"/>
      </w:divBdr>
    </w:div>
    <w:div w:id="1841240711">
      <w:bodyDiv w:val="1"/>
      <w:marLeft w:val="0"/>
      <w:marRight w:val="0"/>
      <w:marTop w:val="0"/>
      <w:marBottom w:val="0"/>
      <w:divBdr>
        <w:top w:val="none" w:sz="0" w:space="0" w:color="auto"/>
        <w:left w:val="none" w:sz="0" w:space="0" w:color="auto"/>
        <w:bottom w:val="none" w:sz="0" w:space="0" w:color="auto"/>
        <w:right w:val="none" w:sz="0" w:space="0" w:color="auto"/>
      </w:divBdr>
    </w:div>
    <w:div w:id="1841971374">
      <w:bodyDiv w:val="1"/>
      <w:marLeft w:val="0"/>
      <w:marRight w:val="0"/>
      <w:marTop w:val="0"/>
      <w:marBottom w:val="0"/>
      <w:divBdr>
        <w:top w:val="none" w:sz="0" w:space="0" w:color="auto"/>
        <w:left w:val="none" w:sz="0" w:space="0" w:color="auto"/>
        <w:bottom w:val="none" w:sz="0" w:space="0" w:color="auto"/>
        <w:right w:val="none" w:sz="0" w:space="0" w:color="auto"/>
      </w:divBdr>
    </w:div>
    <w:div w:id="1856380546">
      <w:bodyDiv w:val="1"/>
      <w:marLeft w:val="0"/>
      <w:marRight w:val="0"/>
      <w:marTop w:val="0"/>
      <w:marBottom w:val="0"/>
      <w:divBdr>
        <w:top w:val="none" w:sz="0" w:space="0" w:color="auto"/>
        <w:left w:val="none" w:sz="0" w:space="0" w:color="auto"/>
        <w:bottom w:val="none" w:sz="0" w:space="0" w:color="auto"/>
        <w:right w:val="none" w:sz="0" w:space="0" w:color="auto"/>
      </w:divBdr>
    </w:div>
    <w:div w:id="1857763709">
      <w:bodyDiv w:val="1"/>
      <w:marLeft w:val="0"/>
      <w:marRight w:val="0"/>
      <w:marTop w:val="0"/>
      <w:marBottom w:val="0"/>
      <w:divBdr>
        <w:top w:val="none" w:sz="0" w:space="0" w:color="auto"/>
        <w:left w:val="none" w:sz="0" w:space="0" w:color="auto"/>
        <w:bottom w:val="none" w:sz="0" w:space="0" w:color="auto"/>
        <w:right w:val="none" w:sz="0" w:space="0" w:color="auto"/>
      </w:divBdr>
    </w:div>
    <w:div w:id="1862668299">
      <w:bodyDiv w:val="1"/>
      <w:marLeft w:val="0"/>
      <w:marRight w:val="0"/>
      <w:marTop w:val="0"/>
      <w:marBottom w:val="0"/>
      <w:divBdr>
        <w:top w:val="none" w:sz="0" w:space="0" w:color="auto"/>
        <w:left w:val="none" w:sz="0" w:space="0" w:color="auto"/>
        <w:bottom w:val="none" w:sz="0" w:space="0" w:color="auto"/>
        <w:right w:val="none" w:sz="0" w:space="0" w:color="auto"/>
      </w:divBdr>
    </w:div>
    <w:div w:id="1864443564">
      <w:bodyDiv w:val="1"/>
      <w:marLeft w:val="0"/>
      <w:marRight w:val="0"/>
      <w:marTop w:val="0"/>
      <w:marBottom w:val="0"/>
      <w:divBdr>
        <w:top w:val="none" w:sz="0" w:space="0" w:color="auto"/>
        <w:left w:val="none" w:sz="0" w:space="0" w:color="auto"/>
        <w:bottom w:val="none" w:sz="0" w:space="0" w:color="auto"/>
        <w:right w:val="none" w:sz="0" w:space="0" w:color="auto"/>
      </w:divBdr>
    </w:div>
    <w:div w:id="1866861841">
      <w:bodyDiv w:val="1"/>
      <w:marLeft w:val="0"/>
      <w:marRight w:val="0"/>
      <w:marTop w:val="0"/>
      <w:marBottom w:val="0"/>
      <w:divBdr>
        <w:top w:val="none" w:sz="0" w:space="0" w:color="auto"/>
        <w:left w:val="none" w:sz="0" w:space="0" w:color="auto"/>
        <w:bottom w:val="none" w:sz="0" w:space="0" w:color="auto"/>
        <w:right w:val="none" w:sz="0" w:space="0" w:color="auto"/>
      </w:divBdr>
    </w:div>
    <w:div w:id="1874800622">
      <w:bodyDiv w:val="1"/>
      <w:marLeft w:val="0"/>
      <w:marRight w:val="0"/>
      <w:marTop w:val="0"/>
      <w:marBottom w:val="0"/>
      <w:divBdr>
        <w:top w:val="none" w:sz="0" w:space="0" w:color="auto"/>
        <w:left w:val="none" w:sz="0" w:space="0" w:color="auto"/>
        <w:bottom w:val="none" w:sz="0" w:space="0" w:color="auto"/>
        <w:right w:val="none" w:sz="0" w:space="0" w:color="auto"/>
      </w:divBdr>
    </w:div>
    <w:div w:id="1877305108">
      <w:bodyDiv w:val="1"/>
      <w:marLeft w:val="0"/>
      <w:marRight w:val="0"/>
      <w:marTop w:val="0"/>
      <w:marBottom w:val="0"/>
      <w:divBdr>
        <w:top w:val="none" w:sz="0" w:space="0" w:color="auto"/>
        <w:left w:val="none" w:sz="0" w:space="0" w:color="auto"/>
        <w:bottom w:val="none" w:sz="0" w:space="0" w:color="auto"/>
        <w:right w:val="none" w:sz="0" w:space="0" w:color="auto"/>
      </w:divBdr>
    </w:div>
    <w:div w:id="1889221874">
      <w:bodyDiv w:val="1"/>
      <w:marLeft w:val="0"/>
      <w:marRight w:val="0"/>
      <w:marTop w:val="0"/>
      <w:marBottom w:val="0"/>
      <w:divBdr>
        <w:top w:val="none" w:sz="0" w:space="0" w:color="auto"/>
        <w:left w:val="none" w:sz="0" w:space="0" w:color="auto"/>
        <w:bottom w:val="none" w:sz="0" w:space="0" w:color="auto"/>
        <w:right w:val="none" w:sz="0" w:space="0" w:color="auto"/>
      </w:divBdr>
    </w:div>
    <w:div w:id="1889873914">
      <w:bodyDiv w:val="1"/>
      <w:marLeft w:val="0"/>
      <w:marRight w:val="0"/>
      <w:marTop w:val="0"/>
      <w:marBottom w:val="0"/>
      <w:divBdr>
        <w:top w:val="none" w:sz="0" w:space="0" w:color="auto"/>
        <w:left w:val="none" w:sz="0" w:space="0" w:color="auto"/>
        <w:bottom w:val="none" w:sz="0" w:space="0" w:color="auto"/>
        <w:right w:val="none" w:sz="0" w:space="0" w:color="auto"/>
      </w:divBdr>
    </w:div>
    <w:div w:id="1908688478">
      <w:bodyDiv w:val="1"/>
      <w:marLeft w:val="0"/>
      <w:marRight w:val="0"/>
      <w:marTop w:val="0"/>
      <w:marBottom w:val="0"/>
      <w:divBdr>
        <w:top w:val="none" w:sz="0" w:space="0" w:color="auto"/>
        <w:left w:val="none" w:sz="0" w:space="0" w:color="auto"/>
        <w:bottom w:val="none" w:sz="0" w:space="0" w:color="auto"/>
        <w:right w:val="none" w:sz="0" w:space="0" w:color="auto"/>
      </w:divBdr>
    </w:div>
    <w:div w:id="1910264082">
      <w:bodyDiv w:val="1"/>
      <w:marLeft w:val="0"/>
      <w:marRight w:val="0"/>
      <w:marTop w:val="0"/>
      <w:marBottom w:val="0"/>
      <w:divBdr>
        <w:top w:val="none" w:sz="0" w:space="0" w:color="auto"/>
        <w:left w:val="none" w:sz="0" w:space="0" w:color="auto"/>
        <w:bottom w:val="none" w:sz="0" w:space="0" w:color="auto"/>
        <w:right w:val="none" w:sz="0" w:space="0" w:color="auto"/>
      </w:divBdr>
    </w:div>
    <w:div w:id="1910655667">
      <w:bodyDiv w:val="1"/>
      <w:marLeft w:val="0"/>
      <w:marRight w:val="0"/>
      <w:marTop w:val="0"/>
      <w:marBottom w:val="0"/>
      <w:divBdr>
        <w:top w:val="none" w:sz="0" w:space="0" w:color="auto"/>
        <w:left w:val="none" w:sz="0" w:space="0" w:color="auto"/>
        <w:bottom w:val="none" w:sz="0" w:space="0" w:color="auto"/>
        <w:right w:val="none" w:sz="0" w:space="0" w:color="auto"/>
      </w:divBdr>
    </w:div>
    <w:div w:id="1920938681">
      <w:bodyDiv w:val="1"/>
      <w:marLeft w:val="0"/>
      <w:marRight w:val="0"/>
      <w:marTop w:val="0"/>
      <w:marBottom w:val="0"/>
      <w:divBdr>
        <w:top w:val="none" w:sz="0" w:space="0" w:color="auto"/>
        <w:left w:val="none" w:sz="0" w:space="0" w:color="auto"/>
        <w:bottom w:val="none" w:sz="0" w:space="0" w:color="auto"/>
        <w:right w:val="none" w:sz="0" w:space="0" w:color="auto"/>
      </w:divBdr>
    </w:div>
    <w:div w:id="1922522074">
      <w:bodyDiv w:val="1"/>
      <w:marLeft w:val="0"/>
      <w:marRight w:val="0"/>
      <w:marTop w:val="0"/>
      <w:marBottom w:val="0"/>
      <w:divBdr>
        <w:top w:val="none" w:sz="0" w:space="0" w:color="auto"/>
        <w:left w:val="none" w:sz="0" w:space="0" w:color="auto"/>
        <w:bottom w:val="none" w:sz="0" w:space="0" w:color="auto"/>
        <w:right w:val="none" w:sz="0" w:space="0" w:color="auto"/>
      </w:divBdr>
    </w:div>
    <w:div w:id="1926567761">
      <w:bodyDiv w:val="1"/>
      <w:marLeft w:val="0"/>
      <w:marRight w:val="0"/>
      <w:marTop w:val="0"/>
      <w:marBottom w:val="0"/>
      <w:divBdr>
        <w:top w:val="none" w:sz="0" w:space="0" w:color="auto"/>
        <w:left w:val="none" w:sz="0" w:space="0" w:color="auto"/>
        <w:bottom w:val="none" w:sz="0" w:space="0" w:color="auto"/>
        <w:right w:val="none" w:sz="0" w:space="0" w:color="auto"/>
      </w:divBdr>
    </w:div>
    <w:div w:id="1927152912">
      <w:bodyDiv w:val="1"/>
      <w:marLeft w:val="0"/>
      <w:marRight w:val="0"/>
      <w:marTop w:val="0"/>
      <w:marBottom w:val="0"/>
      <w:divBdr>
        <w:top w:val="none" w:sz="0" w:space="0" w:color="auto"/>
        <w:left w:val="none" w:sz="0" w:space="0" w:color="auto"/>
        <w:bottom w:val="none" w:sz="0" w:space="0" w:color="auto"/>
        <w:right w:val="none" w:sz="0" w:space="0" w:color="auto"/>
      </w:divBdr>
    </w:div>
    <w:div w:id="1928297506">
      <w:bodyDiv w:val="1"/>
      <w:marLeft w:val="0"/>
      <w:marRight w:val="0"/>
      <w:marTop w:val="0"/>
      <w:marBottom w:val="0"/>
      <w:divBdr>
        <w:top w:val="none" w:sz="0" w:space="0" w:color="auto"/>
        <w:left w:val="none" w:sz="0" w:space="0" w:color="auto"/>
        <w:bottom w:val="none" w:sz="0" w:space="0" w:color="auto"/>
        <w:right w:val="none" w:sz="0" w:space="0" w:color="auto"/>
      </w:divBdr>
    </w:div>
    <w:div w:id="1928877202">
      <w:bodyDiv w:val="1"/>
      <w:marLeft w:val="0"/>
      <w:marRight w:val="0"/>
      <w:marTop w:val="0"/>
      <w:marBottom w:val="0"/>
      <w:divBdr>
        <w:top w:val="none" w:sz="0" w:space="0" w:color="auto"/>
        <w:left w:val="none" w:sz="0" w:space="0" w:color="auto"/>
        <w:bottom w:val="none" w:sz="0" w:space="0" w:color="auto"/>
        <w:right w:val="none" w:sz="0" w:space="0" w:color="auto"/>
      </w:divBdr>
    </w:div>
    <w:div w:id="1934631826">
      <w:bodyDiv w:val="1"/>
      <w:marLeft w:val="0"/>
      <w:marRight w:val="0"/>
      <w:marTop w:val="0"/>
      <w:marBottom w:val="0"/>
      <w:divBdr>
        <w:top w:val="none" w:sz="0" w:space="0" w:color="auto"/>
        <w:left w:val="none" w:sz="0" w:space="0" w:color="auto"/>
        <w:bottom w:val="none" w:sz="0" w:space="0" w:color="auto"/>
        <w:right w:val="none" w:sz="0" w:space="0" w:color="auto"/>
      </w:divBdr>
    </w:div>
    <w:div w:id="1945771569">
      <w:bodyDiv w:val="1"/>
      <w:marLeft w:val="0"/>
      <w:marRight w:val="0"/>
      <w:marTop w:val="0"/>
      <w:marBottom w:val="0"/>
      <w:divBdr>
        <w:top w:val="none" w:sz="0" w:space="0" w:color="auto"/>
        <w:left w:val="none" w:sz="0" w:space="0" w:color="auto"/>
        <w:bottom w:val="none" w:sz="0" w:space="0" w:color="auto"/>
        <w:right w:val="none" w:sz="0" w:space="0" w:color="auto"/>
      </w:divBdr>
    </w:div>
    <w:div w:id="1945922763">
      <w:bodyDiv w:val="1"/>
      <w:marLeft w:val="0"/>
      <w:marRight w:val="0"/>
      <w:marTop w:val="0"/>
      <w:marBottom w:val="0"/>
      <w:divBdr>
        <w:top w:val="none" w:sz="0" w:space="0" w:color="auto"/>
        <w:left w:val="none" w:sz="0" w:space="0" w:color="auto"/>
        <w:bottom w:val="none" w:sz="0" w:space="0" w:color="auto"/>
        <w:right w:val="none" w:sz="0" w:space="0" w:color="auto"/>
      </w:divBdr>
    </w:div>
    <w:div w:id="1946185008">
      <w:bodyDiv w:val="1"/>
      <w:marLeft w:val="0"/>
      <w:marRight w:val="0"/>
      <w:marTop w:val="0"/>
      <w:marBottom w:val="0"/>
      <w:divBdr>
        <w:top w:val="none" w:sz="0" w:space="0" w:color="auto"/>
        <w:left w:val="none" w:sz="0" w:space="0" w:color="auto"/>
        <w:bottom w:val="none" w:sz="0" w:space="0" w:color="auto"/>
        <w:right w:val="none" w:sz="0" w:space="0" w:color="auto"/>
      </w:divBdr>
    </w:div>
    <w:div w:id="1954089910">
      <w:bodyDiv w:val="1"/>
      <w:marLeft w:val="0"/>
      <w:marRight w:val="0"/>
      <w:marTop w:val="0"/>
      <w:marBottom w:val="0"/>
      <w:divBdr>
        <w:top w:val="none" w:sz="0" w:space="0" w:color="auto"/>
        <w:left w:val="none" w:sz="0" w:space="0" w:color="auto"/>
        <w:bottom w:val="none" w:sz="0" w:space="0" w:color="auto"/>
        <w:right w:val="none" w:sz="0" w:space="0" w:color="auto"/>
      </w:divBdr>
    </w:div>
    <w:div w:id="1959556574">
      <w:bodyDiv w:val="1"/>
      <w:marLeft w:val="0"/>
      <w:marRight w:val="0"/>
      <w:marTop w:val="0"/>
      <w:marBottom w:val="0"/>
      <w:divBdr>
        <w:top w:val="none" w:sz="0" w:space="0" w:color="auto"/>
        <w:left w:val="none" w:sz="0" w:space="0" w:color="auto"/>
        <w:bottom w:val="none" w:sz="0" w:space="0" w:color="auto"/>
        <w:right w:val="none" w:sz="0" w:space="0" w:color="auto"/>
      </w:divBdr>
    </w:div>
    <w:div w:id="1960378627">
      <w:bodyDiv w:val="1"/>
      <w:marLeft w:val="0"/>
      <w:marRight w:val="0"/>
      <w:marTop w:val="0"/>
      <w:marBottom w:val="0"/>
      <w:divBdr>
        <w:top w:val="none" w:sz="0" w:space="0" w:color="auto"/>
        <w:left w:val="none" w:sz="0" w:space="0" w:color="auto"/>
        <w:bottom w:val="none" w:sz="0" w:space="0" w:color="auto"/>
        <w:right w:val="none" w:sz="0" w:space="0" w:color="auto"/>
      </w:divBdr>
    </w:div>
    <w:div w:id="1966277168">
      <w:bodyDiv w:val="1"/>
      <w:marLeft w:val="0"/>
      <w:marRight w:val="0"/>
      <w:marTop w:val="0"/>
      <w:marBottom w:val="0"/>
      <w:divBdr>
        <w:top w:val="none" w:sz="0" w:space="0" w:color="auto"/>
        <w:left w:val="none" w:sz="0" w:space="0" w:color="auto"/>
        <w:bottom w:val="none" w:sz="0" w:space="0" w:color="auto"/>
        <w:right w:val="none" w:sz="0" w:space="0" w:color="auto"/>
      </w:divBdr>
    </w:div>
    <w:div w:id="1969512601">
      <w:bodyDiv w:val="1"/>
      <w:marLeft w:val="0"/>
      <w:marRight w:val="0"/>
      <w:marTop w:val="0"/>
      <w:marBottom w:val="0"/>
      <w:divBdr>
        <w:top w:val="none" w:sz="0" w:space="0" w:color="auto"/>
        <w:left w:val="none" w:sz="0" w:space="0" w:color="auto"/>
        <w:bottom w:val="none" w:sz="0" w:space="0" w:color="auto"/>
        <w:right w:val="none" w:sz="0" w:space="0" w:color="auto"/>
      </w:divBdr>
    </w:div>
    <w:div w:id="1969697684">
      <w:bodyDiv w:val="1"/>
      <w:marLeft w:val="0"/>
      <w:marRight w:val="0"/>
      <w:marTop w:val="0"/>
      <w:marBottom w:val="0"/>
      <w:divBdr>
        <w:top w:val="none" w:sz="0" w:space="0" w:color="auto"/>
        <w:left w:val="none" w:sz="0" w:space="0" w:color="auto"/>
        <w:bottom w:val="none" w:sz="0" w:space="0" w:color="auto"/>
        <w:right w:val="none" w:sz="0" w:space="0" w:color="auto"/>
      </w:divBdr>
    </w:div>
    <w:div w:id="1970084108">
      <w:bodyDiv w:val="1"/>
      <w:marLeft w:val="0"/>
      <w:marRight w:val="0"/>
      <w:marTop w:val="0"/>
      <w:marBottom w:val="0"/>
      <w:divBdr>
        <w:top w:val="none" w:sz="0" w:space="0" w:color="auto"/>
        <w:left w:val="none" w:sz="0" w:space="0" w:color="auto"/>
        <w:bottom w:val="none" w:sz="0" w:space="0" w:color="auto"/>
        <w:right w:val="none" w:sz="0" w:space="0" w:color="auto"/>
      </w:divBdr>
    </w:div>
    <w:div w:id="1975911848">
      <w:bodyDiv w:val="1"/>
      <w:marLeft w:val="0"/>
      <w:marRight w:val="0"/>
      <w:marTop w:val="0"/>
      <w:marBottom w:val="0"/>
      <w:divBdr>
        <w:top w:val="none" w:sz="0" w:space="0" w:color="auto"/>
        <w:left w:val="none" w:sz="0" w:space="0" w:color="auto"/>
        <w:bottom w:val="none" w:sz="0" w:space="0" w:color="auto"/>
        <w:right w:val="none" w:sz="0" w:space="0" w:color="auto"/>
      </w:divBdr>
    </w:div>
    <w:div w:id="1979141193">
      <w:bodyDiv w:val="1"/>
      <w:marLeft w:val="0"/>
      <w:marRight w:val="0"/>
      <w:marTop w:val="0"/>
      <w:marBottom w:val="0"/>
      <w:divBdr>
        <w:top w:val="none" w:sz="0" w:space="0" w:color="auto"/>
        <w:left w:val="none" w:sz="0" w:space="0" w:color="auto"/>
        <w:bottom w:val="none" w:sz="0" w:space="0" w:color="auto"/>
        <w:right w:val="none" w:sz="0" w:space="0" w:color="auto"/>
      </w:divBdr>
    </w:div>
    <w:div w:id="1984117351">
      <w:bodyDiv w:val="1"/>
      <w:marLeft w:val="0"/>
      <w:marRight w:val="0"/>
      <w:marTop w:val="0"/>
      <w:marBottom w:val="0"/>
      <w:divBdr>
        <w:top w:val="none" w:sz="0" w:space="0" w:color="auto"/>
        <w:left w:val="none" w:sz="0" w:space="0" w:color="auto"/>
        <w:bottom w:val="none" w:sz="0" w:space="0" w:color="auto"/>
        <w:right w:val="none" w:sz="0" w:space="0" w:color="auto"/>
      </w:divBdr>
    </w:div>
    <w:div w:id="1984844090">
      <w:bodyDiv w:val="1"/>
      <w:marLeft w:val="0"/>
      <w:marRight w:val="0"/>
      <w:marTop w:val="0"/>
      <w:marBottom w:val="0"/>
      <w:divBdr>
        <w:top w:val="none" w:sz="0" w:space="0" w:color="auto"/>
        <w:left w:val="none" w:sz="0" w:space="0" w:color="auto"/>
        <w:bottom w:val="none" w:sz="0" w:space="0" w:color="auto"/>
        <w:right w:val="none" w:sz="0" w:space="0" w:color="auto"/>
      </w:divBdr>
    </w:div>
    <w:div w:id="1997680928">
      <w:bodyDiv w:val="1"/>
      <w:marLeft w:val="0"/>
      <w:marRight w:val="0"/>
      <w:marTop w:val="0"/>
      <w:marBottom w:val="0"/>
      <w:divBdr>
        <w:top w:val="none" w:sz="0" w:space="0" w:color="auto"/>
        <w:left w:val="none" w:sz="0" w:space="0" w:color="auto"/>
        <w:bottom w:val="none" w:sz="0" w:space="0" w:color="auto"/>
        <w:right w:val="none" w:sz="0" w:space="0" w:color="auto"/>
      </w:divBdr>
    </w:div>
    <w:div w:id="1999334970">
      <w:bodyDiv w:val="1"/>
      <w:marLeft w:val="0"/>
      <w:marRight w:val="0"/>
      <w:marTop w:val="0"/>
      <w:marBottom w:val="0"/>
      <w:divBdr>
        <w:top w:val="none" w:sz="0" w:space="0" w:color="auto"/>
        <w:left w:val="none" w:sz="0" w:space="0" w:color="auto"/>
        <w:bottom w:val="none" w:sz="0" w:space="0" w:color="auto"/>
        <w:right w:val="none" w:sz="0" w:space="0" w:color="auto"/>
      </w:divBdr>
    </w:div>
    <w:div w:id="2007130390">
      <w:bodyDiv w:val="1"/>
      <w:marLeft w:val="0"/>
      <w:marRight w:val="0"/>
      <w:marTop w:val="0"/>
      <w:marBottom w:val="0"/>
      <w:divBdr>
        <w:top w:val="none" w:sz="0" w:space="0" w:color="auto"/>
        <w:left w:val="none" w:sz="0" w:space="0" w:color="auto"/>
        <w:bottom w:val="none" w:sz="0" w:space="0" w:color="auto"/>
        <w:right w:val="none" w:sz="0" w:space="0" w:color="auto"/>
      </w:divBdr>
    </w:div>
    <w:div w:id="2015523469">
      <w:bodyDiv w:val="1"/>
      <w:marLeft w:val="0"/>
      <w:marRight w:val="0"/>
      <w:marTop w:val="0"/>
      <w:marBottom w:val="0"/>
      <w:divBdr>
        <w:top w:val="none" w:sz="0" w:space="0" w:color="auto"/>
        <w:left w:val="none" w:sz="0" w:space="0" w:color="auto"/>
        <w:bottom w:val="none" w:sz="0" w:space="0" w:color="auto"/>
        <w:right w:val="none" w:sz="0" w:space="0" w:color="auto"/>
      </w:divBdr>
    </w:div>
    <w:div w:id="2030332059">
      <w:bodyDiv w:val="1"/>
      <w:marLeft w:val="0"/>
      <w:marRight w:val="0"/>
      <w:marTop w:val="0"/>
      <w:marBottom w:val="0"/>
      <w:divBdr>
        <w:top w:val="none" w:sz="0" w:space="0" w:color="auto"/>
        <w:left w:val="none" w:sz="0" w:space="0" w:color="auto"/>
        <w:bottom w:val="none" w:sz="0" w:space="0" w:color="auto"/>
        <w:right w:val="none" w:sz="0" w:space="0" w:color="auto"/>
      </w:divBdr>
    </w:div>
    <w:div w:id="2031371691">
      <w:bodyDiv w:val="1"/>
      <w:marLeft w:val="0"/>
      <w:marRight w:val="0"/>
      <w:marTop w:val="0"/>
      <w:marBottom w:val="0"/>
      <w:divBdr>
        <w:top w:val="none" w:sz="0" w:space="0" w:color="auto"/>
        <w:left w:val="none" w:sz="0" w:space="0" w:color="auto"/>
        <w:bottom w:val="none" w:sz="0" w:space="0" w:color="auto"/>
        <w:right w:val="none" w:sz="0" w:space="0" w:color="auto"/>
      </w:divBdr>
    </w:div>
    <w:div w:id="2036273216">
      <w:bodyDiv w:val="1"/>
      <w:marLeft w:val="0"/>
      <w:marRight w:val="0"/>
      <w:marTop w:val="0"/>
      <w:marBottom w:val="0"/>
      <w:divBdr>
        <w:top w:val="none" w:sz="0" w:space="0" w:color="auto"/>
        <w:left w:val="none" w:sz="0" w:space="0" w:color="auto"/>
        <w:bottom w:val="none" w:sz="0" w:space="0" w:color="auto"/>
        <w:right w:val="none" w:sz="0" w:space="0" w:color="auto"/>
      </w:divBdr>
    </w:div>
    <w:div w:id="2038121249">
      <w:bodyDiv w:val="1"/>
      <w:marLeft w:val="0"/>
      <w:marRight w:val="0"/>
      <w:marTop w:val="0"/>
      <w:marBottom w:val="0"/>
      <w:divBdr>
        <w:top w:val="none" w:sz="0" w:space="0" w:color="auto"/>
        <w:left w:val="none" w:sz="0" w:space="0" w:color="auto"/>
        <w:bottom w:val="none" w:sz="0" w:space="0" w:color="auto"/>
        <w:right w:val="none" w:sz="0" w:space="0" w:color="auto"/>
      </w:divBdr>
    </w:div>
    <w:div w:id="2049604616">
      <w:bodyDiv w:val="1"/>
      <w:marLeft w:val="0"/>
      <w:marRight w:val="0"/>
      <w:marTop w:val="0"/>
      <w:marBottom w:val="0"/>
      <w:divBdr>
        <w:top w:val="none" w:sz="0" w:space="0" w:color="auto"/>
        <w:left w:val="none" w:sz="0" w:space="0" w:color="auto"/>
        <w:bottom w:val="none" w:sz="0" w:space="0" w:color="auto"/>
        <w:right w:val="none" w:sz="0" w:space="0" w:color="auto"/>
      </w:divBdr>
    </w:div>
    <w:div w:id="2051104653">
      <w:bodyDiv w:val="1"/>
      <w:marLeft w:val="0"/>
      <w:marRight w:val="0"/>
      <w:marTop w:val="0"/>
      <w:marBottom w:val="0"/>
      <w:divBdr>
        <w:top w:val="none" w:sz="0" w:space="0" w:color="auto"/>
        <w:left w:val="none" w:sz="0" w:space="0" w:color="auto"/>
        <w:bottom w:val="none" w:sz="0" w:space="0" w:color="auto"/>
        <w:right w:val="none" w:sz="0" w:space="0" w:color="auto"/>
      </w:divBdr>
    </w:div>
    <w:div w:id="2061588349">
      <w:bodyDiv w:val="1"/>
      <w:marLeft w:val="0"/>
      <w:marRight w:val="0"/>
      <w:marTop w:val="0"/>
      <w:marBottom w:val="0"/>
      <w:divBdr>
        <w:top w:val="none" w:sz="0" w:space="0" w:color="auto"/>
        <w:left w:val="none" w:sz="0" w:space="0" w:color="auto"/>
        <w:bottom w:val="none" w:sz="0" w:space="0" w:color="auto"/>
        <w:right w:val="none" w:sz="0" w:space="0" w:color="auto"/>
      </w:divBdr>
      <w:divsChild>
        <w:div w:id="266081892">
          <w:marLeft w:val="0"/>
          <w:marRight w:val="0"/>
          <w:marTop w:val="0"/>
          <w:marBottom w:val="0"/>
          <w:divBdr>
            <w:top w:val="none" w:sz="0" w:space="0" w:color="auto"/>
            <w:left w:val="none" w:sz="0" w:space="0" w:color="auto"/>
            <w:bottom w:val="none" w:sz="0" w:space="0" w:color="auto"/>
            <w:right w:val="none" w:sz="0" w:space="0" w:color="auto"/>
          </w:divBdr>
          <w:divsChild>
            <w:div w:id="877662063">
              <w:marLeft w:val="0"/>
              <w:marRight w:val="0"/>
              <w:marTop w:val="0"/>
              <w:marBottom w:val="0"/>
              <w:divBdr>
                <w:top w:val="none" w:sz="0" w:space="0" w:color="auto"/>
                <w:left w:val="none" w:sz="0" w:space="0" w:color="auto"/>
                <w:bottom w:val="none" w:sz="0" w:space="0" w:color="auto"/>
                <w:right w:val="none" w:sz="0" w:space="0" w:color="auto"/>
              </w:divBdr>
              <w:divsChild>
                <w:div w:id="149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286">
      <w:bodyDiv w:val="1"/>
      <w:marLeft w:val="0"/>
      <w:marRight w:val="0"/>
      <w:marTop w:val="0"/>
      <w:marBottom w:val="0"/>
      <w:divBdr>
        <w:top w:val="none" w:sz="0" w:space="0" w:color="auto"/>
        <w:left w:val="none" w:sz="0" w:space="0" w:color="auto"/>
        <w:bottom w:val="none" w:sz="0" w:space="0" w:color="auto"/>
        <w:right w:val="none" w:sz="0" w:space="0" w:color="auto"/>
      </w:divBdr>
    </w:div>
    <w:div w:id="2069717857">
      <w:bodyDiv w:val="1"/>
      <w:marLeft w:val="0"/>
      <w:marRight w:val="0"/>
      <w:marTop w:val="0"/>
      <w:marBottom w:val="0"/>
      <w:divBdr>
        <w:top w:val="none" w:sz="0" w:space="0" w:color="auto"/>
        <w:left w:val="none" w:sz="0" w:space="0" w:color="auto"/>
        <w:bottom w:val="none" w:sz="0" w:space="0" w:color="auto"/>
        <w:right w:val="none" w:sz="0" w:space="0" w:color="auto"/>
      </w:divBdr>
    </w:div>
    <w:div w:id="2074162670">
      <w:bodyDiv w:val="1"/>
      <w:marLeft w:val="0"/>
      <w:marRight w:val="0"/>
      <w:marTop w:val="0"/>
      <w:marBottom w:val="0"/>
      <w:divBdr>
        <w:top w:val="none" w:sz="0" w:space="0" w:color="auto"/>
        <w:left w:val="none" w:sz="0" w:space="0" w:color="auto"/>
        <w:bottom w:val="none" w:sz="0" w:space="0" w:color="auto"/>
        <w:right w:val="none" w:sz="0" w:space="0" w:color="auto"/>
      </w:divBdr>
    </w:div>
    <w:div w:id="2084137189">
      <w:bodyDiv w:val="1"/>
      <w:marLeft w:val="0"/>
      <w:marRight w:val="0"/>
      <w:marTop w:val="0"/>
      <w:marBottom w:val="0"/>
      <w:divBdr>
        <w:top w:val="none" w:sz="0" w:space="0" w:color="auto"/>
        <w:left w:val="none" w:sz="0" w:space="0" w:color="auto"/>
        <w:bottom w:val="none" w:sz="0" w:space="0" w:color="auto"/>
        <w:right w:val="none" w:sz="0" w:space="0" w:color="auto"/>
      </w:divBdr>
    </w:div>
    <w:div w:id="2086607838">
      <w:bodyDiv w:val="1"/>
      <w:marLeft w:val="0"/>
      <w:marRight w:val="0"/>
      <w:marTop w:val="0"/>
      <w:marBottom w:val="0"/>
      <w:divBdr>
        <w:top w:val="none" w:sz="0" w:space="0" w:color="auto"/>
        <w:left w:val="none" w:sz="0" w:space="0" w:color="auto"/>
        <w:bottom w:val="none" w:sz="0" w:space="0" w:color="auto"/>
        <w:right w:val="none" w:sz="0" w:space="0" w:color="auto"/>
      </w:divBdr>
    </w:div>
    <w:div w:id="2086879632">
      <w:bodyDiv w:val="1"/>
      <w:marLeft w:val="0"/>
      <w:marRight w:val="0"/>
      <w:marTop w:val="0"/>
      <w:marBottom w:val="0"/>
      <w:divBdr>
        <w:top w:val="none" w:sz="0" w:space="0" w:color="auto"/>
        <w:left w:val="none" w:sz="0" w:space="0" w:color="auto"/>
        <w:bottom w:val="none" w:sz="0" w:space="0" w:color="auto"/>
        <w:right w:val="none" w:sz="0" w:space="0" w:color="auto"/>
      </w:divBdr>
    </w:div>
    <w:div w:id="2087484473">
      <w:bodyDiv w:val="1"/>
      <w:marLeft w:val="0"/>
      <w:marRight w:val="0"/>
      <w:marTop w:val="0"/>
      <w:marBottom w:val="0"/>
      <w:divBdr>
        <w:top w:val="none" w:sz="0" w:space="0" w:color="auto"/>
        <w:left w:val="none" w:sz="0" w:space="0" w:color="auto"/>
        <w:bottom w:val="none" w:sz="0" w:space="0" w:color="auto"/>
        <w:right w:val="none" w:sz="0" w:space="0" w:color="auto"/>
      </w:divBdr>
    </w:div>
    <w:div w:id="2098208351">
      <w:bodyDiv w:val="1"/>
      <w:marLeft w:val="0"/>
      <w:marRight w:val="0"/>
      <w:marTop w:val="0"/>
      <w:marBottom w:val="0"/>
      <w:divBdr>
        <w:top w:val="none" w:sz="0" w:space="0" w:color="auto"/>
        <w:left w:val="none" w:sz="0" w:space="0" w:color="auto"/>
        <w:bottom w:val="none" w:sz="0" w:space="0" w:color="auto"/>
        <w:right w:val="none" w:sz="0" w:space="0" w:color="auto"/>
      </w:divBdr>
    </w:div>
    <w:div w:id="2103257390">
      <w:bodyDiv w:val="1"/>
      <w:marLeft w:val="0"/>
      <w:marRight w:val="0"/>
      <w:marTop w:val="0"/>
      <w:marBottom w:val="0"/>
      <w:divBdr>
        <w:top w:val="none" w:sz="0" w:space="0" w:color="auto"/>
        <w:left w:val="none" w:sz="0" w:space="0" w:color="auto"/>
        <w:bottom w:val="none" w:sz="0" w:space="0" w:color="auto"/>
        <w:right w:val="none" w:sz="0" w:space="0" w:color="auto"/>
      </w:divBdr>
    </w:div>
    <w:div w:id="2105370831">
      <w:bodyDiv w:val="1"/>
      <w:marLeft w:val="0"/>
      <w:marRight w:val="0"/>
      <w:marTop w:val="0"/>
      <w:marBottom w:val="0"/>
      <w:divBdr>
        <w:top w:val="none" w:sz="0" w:space="0" w:color="auto"/>
        <w:left w:val="none" w:sz="0" w:space="0" w:color="auto"/>
        <w:bottom w:val="none" w:sz="0" w:space="0" w:color="auto"/>
        <w:right w:val="none" w:sz="0" w:space="0" w:color="auto"/>
      </w:divBdr>
    </w:div>
    <w:div w:id="2106263925">
      <w:bodyDiv w:val="1"/>
      <w:marLeft w:val="0"/>
      <w:marRight w:val="0"/>
      <w:marTop w:val="0"/>
      <w:marBottom w:val="0"/>
      <w:divBdr>
        <w:top w:val="none" w:sz="0" w:space="0" w:color="auto"/>
        <w:left w:val="none" w:sz="0" w:space="0" w:color="auto"/>
        <w:bottom w:val="none" w:sz="0" w:space="0" w:color="auto"/>
        <w:right w:val="none" w:sz="0" w:space="0" w:color="auto"/>
      </w:divBdr>
    </w:div>
    <w:div w:id="2109615329">
      <w:bodyDiv w:val="1"/>
      <w:marLeft w:val="0"/>
      <w:marRight w:val="0"/>
      <w:marTop w:val="0"/>
      <w:marBottom w:val="0"/>
      <w:divBdr>
        <w:top w:val="none" w:sz="0" w:space="0" w:color="auto"/>
        <w:left w:val="none" w:sz="0" w:space="0" w:color="auto"/>
        <w:bottom w:val="none" w:sz="0" w:space="0" w:color="auto"/>
        <w:right w:val="none" w:sz="0" w:space="0" w:color="auto"/>
      </w:divBdr>
    </w:div>
    <w:div w:id="2111193245">
      <w:bodyDiv w:val="1"/>
      <w:marLeft w:val="0"/>
      <w:marRight w:val="0"/>
      <w:marTop w:val="0"/>
      <w:marBottom w:val="0"/>
      <w:divBdr>
        <w:top w:val="none" w:sz="0" w:space="0" w:color="auto"/>
        <w:left w:val="none" w:sz="0" w:space="0" w:color="auto"/>
        <w:bottom w:val="none" w:sz="0" w:space="0" w:color="auto"/>
        <w:right w:val="none" w:sz="0" w:space="0" w:color="auto"/>
      </w:divBdr>
    </w:div>
    <w:div w:id="2118018020">
      <w:bodyDiv w:val="1"/>
      <w:marLeft w:val="0"/>
      <w:marRight w:val="0"/>
      <w:marTop w:val="0"/>
      <w:marBottom w:val="0"/>
      <w:divBdr>
        <w:top w:val="none" w:sz="0" w:space="0" w:color="auto"/>
        <w:left w:val="none" w:sz="0" w:space="0" w:color="auto"/>
        <w:bottom w:val="none" w:sz="0" w:space="0" w:color="auto"/>
        <w:right w:val="none" w:sz="0" w:space="0" w:color="auto"/>
      </w:divBdr>
    </w:div>
    <w:div w:id="2122065668">
      <w:bodyDiv w:val="1"/>
      <w:marLeft w:val="0"/>
      <w:marRight w:val="0"/>
      <w:marTop w:val="0"/>
      <w:marBottom w:val="0"/>
      <w:divBdr>
        <w:top w:val="none" w:sz="0" w:space="0" w:color="auto"/>
        <w:left w:val="none" w:sz="0" w:space="0" w:color="auto"/>
        <w:bottom w:val="none" w:sz="0" w:space="0" w:color="auto"/>
        <w:right w:val="none" w:sz="0" w:space="0" w:color="auto"/>
      </w:divBdr>
    </w:div>
    <w:div w:id="2128228952">
      <w:bodyDiv w:val="1"/>
      <w:marLeft w:val="0"/>
      <w:marRight w:val="0"/>
      <w:marTop w:val="0"/>
      <w:marBottom w:val="0"/>
      <w:divBdr>
        <w:top w:val="none" w:sz="0" w:space="0" w:color="auto"/>
        <w:left w:val="none" w:sz="0" w:space="0" w:color="auto"/>
        <w:bottom w:val="none" w:sz="0" w:space="0" w:color="auto"/>
        <w:right w:val="none" w:sz="0" w:space="0" w:color="auto"/>
      </w:divBdr>
    </w:div>
    <w:div w:id="2129228710">
      <w:bodyDiv w:val="1"/>
      <w:marLeft w:val="0"/>
      <w:marRight w:val="0"/>
      <w:marTop w:val="0"/>
      <w:marBottom w:val="0"/>
      <w:divBdr>
        <w:top w:val="none" w:sz="0" w:space="0" w:color="auto"/>
        <w:left w:val="none" w:sz="0" w:space="0" w:color="auto"/>
        <w:bottom w:val="none" w:sz="0" w:space="0" w:color="auto"/>
        <w:right w:val="none" w:sz="0" w:space="0" w:color="auto"/>
      </w:divBdr>
    </w:div>
    <w:div w:id="2134325006">
      <w:bodyDiv w:val="1"/>
      <w:marLeft w:val="0"/>
      <w:marRight w:val="0"/>
      <w:marTop w:val="0"/>
      <w:marBottom w:val="0"/>
      <w:divBdr>
        <w:top w:val="none" w:sz="0" w:space="0" w:color="auto"/>
        <w:left w:val="none" w:sz="0" w:space="0" w:color="auto"/>
        <w:bottom w:val="none" w:sz="0" w:space="0" w:color="auto"/>
        <w:right w:val="none" w:sz="0" w:space="0" w:color="auto"/>
      </w:divBdr>
    </w:div>
    <w:div w:id="2137790850">
      <w:bodyDiv w:val="1"/>
      <w:marLeft w:val="0"/>
      <w:marRight w:val="0"/>
      <w:marTop w:val="0"/>
      <w:marBottom w:val="0"/>
      <w:divBdr>
        <w:top w:val="none" w:sz="0" w:space="0" w:color="auto"/>
        <w:left w:val="none" w:sz="0" w:space="0" w:color="auto"/>
        <w:bottom w:val="none" w:sz="0" w:space="0" w:color="auto"/>
        <w:right w:val="none" w:sz="0" w:space="0" w:color="auto"/>
      </w:divBdr>
    </w:div>
    <w:div w:id="2144540069">
      <w:bodyDiv w:val="1"/>
      <w:marLeft w:val="0"/>
      <w:marRight w:val="0"/>
      <w:marTop w:val="0"/>
      <w:marBottom w:val="0"/>
      <w:divBdr>
        <w:top w:val="none" w:sz="0" w:space="0" w:color="auto"/>
        <w:left w:val="none" w:sz="0" w:space="0" w:color="auto"/>
        <w:bottom w:val="none" w:sz="0" w:space="0" w:color="auto"/>
        <w:right w:val="none" w:sz="0" w:space="0" w:color="auto"/>
      </w:divBdr>
    </w:div>
    <w:div w:id="214561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lawreviews.co.uk/title/the-environment-and-climate-change-law-review/panama" TargetMode="External"/><Relationship Id="rId18" Type="http://schemas.openxmlformats.org/officeDocument/2006/relationships/hyperlink" Target="https://generoeninfraestructura.iadb.org" TargetMode="External"/><Relationship Id="rId26" Type="http://schemas.openxmlformats.org/officeDocument/2006/relationships/footer" Target="footer3.xml"/><Relationship Id="rId39" Type="http://schemas.openxmlformats.org/officeDocument/2006/relationships/hyperlink" Target="https://www.caf.com/media/5614351/salvaguardas%20ambientales%20y%20sociales%20caf.pdf" TargetMode="External"/><Relationship Id="rId21" Type="http://schemas.openxmlformats.org/officeDocument/2006/relationships/header" Target="header1.xml"/><Relationship Id="rId34" Type="http://schemas.openxmlformats.org/officeDocument/2006/relationships/hyperlink" Target="https://www.caf.com/es/sobre-caf/que-hacemos/acceso-a-la-informacion/prevencion-de-practicas-prohibidas/" TargetMode="External"/><Relationship Id="rId42" Type="http://schemas.openxmlformats.org/officeDocument/2006/relationships/hyperlink" Target="http://www.unep.org/ozone/montreal.shtml" TargetMode="External"/><Relationship Id="rId47" Type="http://schemas.openxmlformats.org/officeDocument/2006/relationships/footer" Target="footer8.xml"/><Relationship Id="rId50" Type="http://schemas.openxmlformats.org/officeDocument/2006/relationships/image" Target="media/image3.e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p.ac.pa/leyes-de-genero" TargetMode="Externa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s://www.caf.com/media/3381442/guideline-genderdiscriminationsexualharrasmentfinal.pdf" TargetMode="External"/><Relationship Id="rId40" Type="http://schemas.openxmlformats.org/officeDocument/2006/relationships/hyperlink" Target="https://eur-lex.europa.eu/legal-content/EN/ALL/?uri=CELEX%3A32000L0053" TargetMode="External"/><Relationship Id="rId45" Type="http://schemas.openxmlformats.org/officeDocument/2006/relationships/header" Target="header8.xml"/><Relationship Id="rId53" Type="http://schemas.openxmlformats.org/officeDocument/2006/relationships/image" Target="media/image6.emf"/><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limate-laws.org" TargetMode="External"/><Relationship Id="rId31" Type="http://schemas.openxmlformats.org/officeDocument/2006/relationships/header" Target="header6.xml"/><Relationship Id="rId44" Type="http://schemas.openxmlformats.org/officeDocument/2006/relationships/header" Target="header7.xml"/><Relationship Id="rId52"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trucplan.com.ar/republica-de-panama/"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www.caf.com/es/temas/a/ambiente-y-cambio-climatico/proyectos/" TargetMode="External"/><Relationship Id="rId43" Type="http://schemas.openxmlformats.org/officeDocument/2006/relationships/hyperlink" Target="http://pubdocs.worldbank.org/en/837721522762050108/Environmental-and-Social-Framework.pdf" TargetMode="Externa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s://www.sinia.gob.pa/index.php/marco-legal/marco-legal2" TargetMode="External"/><Relationship Id="rId17" Type="http://schemas.openxmlformats.org/officeDocument/2006/relationships/hyperlink" Target="http://www.mades.gov.py/leyes/" TargetMode="External"/><Relationship Id="rId25" Type="http://schemas.openxmlformats.org/officeDocument/2006/relationships/header" Target="header3.xml"/><Relationship Id="rId33" Type="http://schemas.openxmlformats.org/officeDocument/2006/relationships/hyperlink" Target="https://www.caf.com/es/sobre-caf/que-hacemos/acceso-a-la-informacion/prevencion-de-practicas-prohibidas/" TargetMode="External"/><Relationship Id="rId38" Type="http://schemas.openxmlformats.org/officeDocument/2006/relationships/hyperlink" Target="https://www.caf.com/media/5614351/salvaguardas%20ambientales%20y%20sociales%20caf.pdf" TargetMode="External"/><Relationship Id="rId46" Type="http://schemas.openxmlformats.org/officeDocument/2006/relationships/footer" Target="footer7.xml"/><Relationship Id="rId20" Type="http://schemas.openxmlformats.org/officeDocument/2006/relationships/image" Target="media/image2.png"/><Relationship Id="rId41" Type="http://schemas.openxmlformats.org/officeDocument/2006/relationships/hyperlink" Target="http://www.idtechex.com/en/research-report/second-life-electric-vehicle-batteries-2020-2030/681" TargetMode="External"/><Relationship Id="rId54"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neroeninfraestructura.iadb.org/en/country/paraguay"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www.caf.com/media/3381441/accountabilitymechanismfinal.pdf" TargetMode="External"/><Relationship Id="rId49"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iwgia.org/es/panama/4794-mi-2022-panama.html" TargetMode="External"/><Relationship Id="rId2" Type="http://schemas.openxmlformats.org/officeDocument/2006/relationships/hyperlink" Target="https://movelatam.org/wp-content/uploads/2019/07/ENME-Panama-Estrategia.pdf" TargetMode="External"/><Relationship Id="rId1" Type="http://schemas.openxmlformats.org/officeDocument/2006/relationships/hyperlink" Target="https://data.worldbank.org/country/panama?view=chart" TargetMode="External"/><Relationship Id="rId4" Type="http://schemas.openxmlformats.org/officeDocument/2006/relationships/hyperlink" Target="https://www.mee.gov.cn/ywgz/fgbz/bz/bzwb/gthw/qtxgbz/202108/t20210820_858544.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37166F8272C4EA3F57DA39860E63C" ma:contentTypeVersion="12" ma:contentTypeDescription="Crée un document." ma:contentTypeScope="" ma:versionID="e507f7df52eb50bbc06feb369d2e5e0b">
  <xsd:schema xmlns:xsd="http://www.w3.org/2001/XMLSchema" xmlns:xs="http://www.w3.org/2001/XMLSchema" xmlns:p="http://schemas.microsoft.com/office/2006/metadata/properties" xmlns:ns2="6d26a1c8-4e45-4a1a-8889-2d179a44ec4d" xmlns:ns3="65cf9c0b-cee1-4652-8dbc-686c740adacc" targetNamespace="http://schemas.microsoft.com/office/2006/metadata/properties" ma:root="true" ma:fieldsID="73001828282e29cf1f9ba002cdac230a" ns2:_="" ns3:_="">
    <xsd:import namespace="6d26a1c8-4e45-4a1a-8889-2d179a44ec4d"/>
    <xsd:import namespace="65cf9c0b-cee1-4652-8dbc-686c740ad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a1c8-4e45-4a1a-8889-2d179a44e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f9c0b-cee1-4652-8dbc-686c740adac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OEC20</b:Tag>
    <b:SourceType>Report</b:SourceType>
    <b:Guid>{645F0F97-6372-43E2-9C1F-D5465A626E6E}</b:Guid>
    <b:Author>
      <b:Author>
        <b:Corporate>OECD</b:Corporate>
      </b:Author>
    </b:Author>
    <b:Title>SIGI 2020 Regional Report for Latin America and the Caribbean, Social Institutions and Gender Index</b:Title>
    <b:Year>2020</b:Year>
    <b:Publisher>OECD Publishing</b:Publisher>
    <b:City>Paris</b:City>
    <b:DOI>https://doi.org/10.1787/cb7d45d1-en</b:DOI>
    <b:RefOrder>7</b:RefOrder>
  </b:Source>
  <b:Source>
    <b:Tag>UNE21</b:Tag>
    <b:SourceType>InternetSite</b:SourceType>
    <b:Guid>{F479926D-A043-4FF4-ABDD-0CBFBCA70BAD}</b:Guid>
    <b:Author>
      <b:Author>
        <b:Corporate>UN ECLAC</b:Corporate>
      </b:Author>
    </b:Author>
    <b:Title>CEPAL</b:Title>
    <b:Year>2021</b:Year>
    <b:InternetSiteTitle>Gender Equality Observatory for Latin America and the Caribbean</b:InternetSiteTitle>
    <b:URL>https://oig.cepal.org/en/indicators</b:URL>
    <b:RefOrder>8</b:RefOrder>
  </b:Source>
  <b:Source>
    <b:Tag>UNI19</b:Tag>
    <b:SourceType>InternetSite</b:SourceType>
    <b:Guid>{816BB762-E760-40F9-897C-5ABB7B33D751}</b:Guid>
    <b:Author>
      <b:Author>
        <b:Corporate>UNICEF</b:Corporate>
      </b:Author>
    </b:Author>
    <b:Title>unicef for every child</b:Title>
    <b:InternetSiteTitle>Maternal mortality</b:InternetSiteTitle>
    <b:Year>2019</b:Year>
    <b:URL>https://data.unicef.org/topic/maternal-health/maternal-mortality/#:~:text=From%202000%20to%202017%2C%20the,reduction%20of%202.9%20per%20cent.</b:URL>
    <b:RefOrder>9</b:RefOrder>
  </b:Source>
  <b:Source>
    <b:Tag>Wor18</b:Tag>
    <b:SourceType>Report</b:SourceType>
    <b:Guid>{820C40BF-59B2-439A-BD34-38B75D71BF2F}</b:Guid>
    <b:Author>
      <b:Author>
        <b:Corporate>World Bank Group</b:Corporate>
      </b:Author>
    </b:Author>
    <b:Title>Towards Equal? Women in Central America</b:Title>
    <b:Year>2018</b:Year>
    <b:Publisher>The World Bank</b:Publisher>
    <b:City>Washington DC</b:City>
    <b:RefOrder>10</b:RefOrder>
  </b:Source>
  <b:Source>
    <b:Tag>Bla</b:Tag>
    <b:SourceType>ArticleInAPeriodical</b:SourceType>
    <b:Guid>{878E9EB4-4BA9-4220-B6A6-2184166282AB}</b:Guid>
    <b:Title>ASSESSMENT OF WOMEN, SCIENCE &amp; TECHNOLOGY IN PANAMA</b:Title>
    <b:Author>
      <b:Author>
        <b:NameList>
          <b:Person>
            <b:Last>Blanco</b:Last>
            <b:First>Eugenia Rodríguez</b:First>
          </b:Person>
          <b:Person>
            <b:Last>De León</b:Last>
            <b:First>Nadia</b:First>
          </b:Person>
          <b:Person>
            <b:Last>Serra</b:Last>
            <b:First>Yolanda Marco</b:First>
          </b:Person>
          <b:Person>
            <b:Last>Cañizares</b:Last>
            <b:First>Sara Camara</b:First>
          </b:Person>
        </b:NameList>
      </b:Author>
    </b:Author>
    <b:PeriodicalTitle>National Assessments on Gender and Science Technology &amp; Innovation (STI)</b:PeriodicalTitle>
    <b:RefOrder>11</b:RefOrder>
  </b:Source>
  <b:Source>
    <b:Tag>Wor20</b:Tag>
    <b:SourceType>Report</b:SourceType>
    <b:Guid>{C6505920-6D94-4640-A86D-11D7EAD3EF4C}</b:Guid>
    <b:Author>
      <b:Author>
        <b:Corporate>World Economic Forum</b:Corporate>
      </b:Author>
    </b:Author>
    <b:Title>Global Gender Gap Report 2020</b:Title>
    <b:Year>2020</b:Year>
    <b:Publisher>World Economic Forum</b:Publisher>
    <b:City>Geneva</b:City>
    <b:RefOrder>12</b:RefOrder>
  </b:Source>
  <b:Source>
    <b:Tag>Wor19</b:Tag>
    <b:SourceType>Report</b:SourceType>
    <b:Guid>{48458E10-B3D1-4F08-B05E-1374B37998BA}</b:Guid>
    <b:Author>
      <b:Author>
        <b:Corporate>World Bank Group</b:Corporate>
      </b:Author>
    </b:Author>
    <b:Title>The Little Data Book on Gender</b:Title>
    <b:Year>2019</b:Year>
    <b:Publisher>The World Bank</b:Publisher>
    <b:City>Washington DC</b:City>
    <b:RefOrder>13</b:RefOrder>
  </b:Source>
  <b:Source>
    <b:Tag>Int</b:Tag>
    <b:SourceType>Report</b:SourceType>
    <b:Guid>{949BF41A-FC72-482B-9AD6-788DDC999F4B}</b:Guid>
    <b:Author>
      <b:Author>
        <b:Corporate>IDB</b:Corporate>
      </b:Author>
    </b:Author>
    <b:Title>Paraguay - IDB Group Country Strategy 2019-2023</b:Title>
    <b:Year>2019</b:Year>
    <b:Publisher>Inter-American Development Bank</b:Publisher>
    <b:RefOrder>14</b:RefOrder>
  </b:Source>
  <b:Source>
    <b:Tag>Wor181</b:Tag>
    <b:SourceType>Report</b:SourceType>
    <b:Guid>{282A3612-494B-40DC-A397-B9E79F249C8F}</b:Guid>
    <b:Author>
      <b:Author>
        <b:Corporate>World Bank Group</b:Corporate>
      </b:Author>
    </b:Author>
    <b:Title>Paraguay - Systematic Country Diagnostic</b:Title>
    <b:Year>2018</b:Year>
    <b:RefOrder>15</b:RefOrder>
  </b:Source>
  <b:Source>
    <b:Tag>Bul19</b:Tag>
    <b:SourceType>ArticleInAPeriodical</b:SourceType>
    <b:Guid>{A54FA35B-8357-486C-A007-BD291E2EFC18}</b:Guid>
    <b:Title>Stubborn gender Gaps in Paraguay's Labor Market</b:Title>
    <b:Year>2019</b:Year>
    <b:Publisher>World Bank Group</b:Publisher>
    <b:City>Washington DC</b:City>
    <b:Author>
      <b:Author>
        <b:NameList>
          <b:Person>
            <b:Last>Bulmer</b:Last>
            <b:Middle>Ruppert</b:Middle>
            <b:First>Elizabeth</b:First>
          </b:Person>
          <b:Person>
            <b:Last>Scarpari</b:Last>
            <b:First>Raquel</b:First>
          </b:Person>
          <b:Person>
            <b:Last>Garlati</b:Last>
            <b:First>Adrian</b:First>
          </b:Person>
        </b:NameList>
      </b:Author>
    </b:Author>
    <b:PeriodicalTitle>Jobs Working Paper</b:PeriodicalTitle>
    <b:Issue>no. 28</b:Issue>
    <b:RefOrder>16</b:RefOrder>
  </b:Source>
  <b:Source>
    <b:Tag>UNW212</b:Tag>
    <b:SourceType>InternetSite</b:SourceType>
    <b:Guid>{64659728-281E-4B40-BA4A-23C23973B30B}</b:Guid>
    <b:Author>
      <b:Author>
        <b:Corporate>UN Women</b:Corporate>
      </b:Author>
    </b:Author>
    <b:Title>Uruguay</b:Title>
    <b:Year>2021</b:Year>
    <b:InternetSiteTitle>Women Count</b:InternetSiteTitle>
    <b:URL>https://data.unwomen.org/country/uruguay</b:URL>
    <b:RefOrder>17</b:RefOrder>
  </b:Source>
  <b:Source>
    <b:Tag>UNW21</b:Tag>
    <b:SourceType>InternetSite</b:SourceType>
    <b:Guid>{49884228-A1D0-44CB-AB8C-08584D34B4B6}</b:Guid>
    <b:Author>
      <b:Author>
        <b:Corporate>UN Women</b:Corporate>
      </b:Author>
    </b:Author>
    <b:Title>Panama</b:Title>
    <b:Year>2021</b:Year>
    <b:InternetSiteTitle>Women Count</b:InternetSiteTitle>
    <b:URL>https://data.unwomen.org/country/panama</b:URL>
    <b:RefOrder>18</b:RefOrder>
  </b:Source>
  <b:Source>
    <b:Tag>UNW211</b:Tag>
    <b:SourceType>InternetSite</b:SourceType>
    <b:Guid>{FA1BDFCA-26C0-47D4-A4F5-DC53A9CA95E9}</b:Guid>
    <b:Author>
      <b:Author>
        <b:Corporate>UN Women</b:Corporate>
      </b:Author>
    </b:Author>
    <b:Title>Paraguay</b:Title>
    <b:Year>2021</b:Year>
    <b:InternetSiteTitle>Women Count</b:InternetSiteTitle>
    <b:URL>https://data.unwomen.org/country/paraguay</b:URL>
    <b:RefOrder>19</b:RefOrder>
  </b:Source>
  <b:Source>
    <b:Tag>IDB15</b:Tag>
    <b:SourceType>Report</b:SourceType>
    <b:Guid>{0B80834C-CFA3-4785-B6CE-8DA7E936CADA}</b:Guid>
    <b:Title>Uruguay - IDB Group Country Strategy 2016-2020</b:Title>
    <b:Year>2015</b:Year>
    <b:Author>
      <b:Author>
        <b:Corporate>IDB</b:Corporate>
      </b:Author>
    </b:Author>
    <b:City>Inter-American Development Bank</b:City>
    <b:RefOrder>20</b:RefOrder>
  </b:Source>
  <b:Source>
    <b:Tag>CEI21</b:Tag>
    <b:SourceType>InternetSite</b:SourceType>
    <b:Guid>{1C1B00EB-231B-4E9F-A611-83262998D5AF}</b:Guid>
    <b:Title>Uruguay Unemployment Rate</b:Title>
    <b:Year>2021</b:Year>
    <b:Author>
      <b:Author>
        <b:Corporate>CEIC</b:Corporate>
      </b:Author>
    </b:Author>
    <b:InternetSiteTitle>CEIC</b:InternetSiteTitle>
    <b:URL>https://www.ceicdata.com/en/indicator/uruguay/unemployment-rate</b:URL>
    <b:RefOrder>21</b:RefOrder>
  </b:Source>
  <b:Source>
    <b:Tag>Cat12</b:Tag>
    <b:SourceType>ArticleInAPeriodical</b:SourceType>
    <b:Guid>{02EF4EFB-02DB-490C-A04A-47B2AE0032D8}</b:Guid>
    <b:Title>Women in the labour market - From injustice to affirmative action</b:Title>
    <b:Year>2012</b:Year>
    <b:Author>
      <b:Author>
        <b:NameList>
          <b:Person>
            <b:Last>Catalán</b:Last>
            <b:Middle>Godoy</b:Middle>
            <b:First>Lorena</b:First>
          </b:Person>
          <b:Person>
            <b:Last>Cardarelli</b:Last>
            <b:Middle>Rosa Mauro</b:Middle>
            <b:First>Amalia</b:First>
          </b:Person>
          <b:Person>
            <b:Last>Cavallero</b:Last>
            <b:Middle>Todaro</b:Middle>
            <b:First>Rosalba</b:First>
          </b:Person>
        </b:NameList>
      </b:Author>
    </b:Author>
    <b:Publisher>Friedrich-Ebert-Stiftung</b:Publisher>
    <b:RefOrder>22</b:RefOrder>
  </b:Source>
  <b:Source>
    <b:Tag>Wor201</b:Tag>
    <b:SourceType>Report</b:SourceType>
    <b:Guid>{76731F13-3F7C-4207-A0FA-5375676F1FD1}</b:Guid>
    <b:Author>
      <b:Author>
        <b:Corporate>World Bank Group</b:Corporate>
      </b:Author>
    </b:Author>
    <b:Title>Why Does She Move? A Study of Women's Mobility in Latin American Cities</b:Title>
    <b:Year>2020</b:Year>
    <b:Publisher>The World Bank</b:Publisher>
    <b:City>Washington DC</b:City>
    <b:RefOrder>23</b:RefOrder>
  </b:Source>
  <b:Source>
    <b:Tag>Cos21</b:Tag>
    <b:SourceType>InternetSite</b:SourceType>
    <b:Guid>{3C32669D-9A80-47D9-AE19-62FEEAF0184D}</b:Guid>
    <b:Title>Costa Rica overview</b:Title>
    <b:Year>2020</b:Year>
    <b:Author>
      <b:Author>
        <b:Corporate>Cosevi</b:Corporate>
      </b:Author>
    </b:Author>
    <b:InternetSiteTitle>cosevi</b:InternetSiteTitle>
    <b:URL>https://datosabiertos.csv.go.cr/dashboards/19737/informacion-general-de-costa-rica/</b:URL>
    <b:RefOrder>24</b:RefOrder>
  </b:Source>
  <b:Source>
    <b:Tag>IDB11</b:Tag>
    <b:SourceType>InternetSite</b:SourceType>
    <b:Guid>{877D8C47-7237-4751-AD60-98DFC6351E0D}</b:Guid>
    <b:Author>
      <b:Author>
        <b:Corporate>IDB</b:Corporate>
      </b:Author>
    </b:Author>
    <b:Title>Travel experience maps to measure the Accessibility of Public Transport</b:Title>
    <b:InternetSiteTitle>moviliblog</b:InternetSiteTitle>
    <b:Year>2011</b:Year>
    <b:URL>https://blogs.iadb.org/transporte/es/mapas-de-experiencia-de-viaje-para-medir-la-accesibilidad-del-transporte-publico/</b:URL>
    <b:RefOrder>25</b:RefOrder>
  </b:Source>
  <b:Source>
    <b:Tag>CAF191</b:Tag>
    <b:SourceType>Report</b:SourceType>
    <b:Guid>{50B49786-44E1-47C9-9F4B-121D86F4496C}</b:Guid>
    <b:Author>
      <b:Author>
        <b:Corporate>CAF</b:Corporate>
      </b:Author>
    </b:Author>
    <b:Title>Mediciones nocturnas en materia de seguridad para las mujeres</b:Title>
    <b:Year>2019</b:Year>
    <b:Publisher>Mujeres an Cifras</b:Publisher>
    <b:URL>http://omeg.sdmujer.gov.co/phocadownload/2019/boletines/Mujeres%20en%20Cifras%2019.pdf</b:URL>
    <b:RefOrder>26</b:RefOrder>
  </b:Source>
  <b:Source>
    <b:Tag>CAF19</b:Tag>
    <b:SourceType>Report</b:SourceType>
    <b:Guid>{05D6FBD6-13C7-425E-8DD6-D7191F80BBF7}</b:Guid>
    <b:Author>
      <b:Author>
        <b:Corporate>CAF</b:Corporate>
      </b:Author>
    </b:Author>
    <b:Title>She moves safely - A study on women's personal safety and public transport in three Latin American cities</b:Title>
    <b:Year>2019</b:Year>
    <b:Publisher>CAF &amp; FIA Foundation</b:Publisher>
    <b:URL>https://scioteca.caf.com/handle/123456789/1405</b:URL>
    <b:RefOrder>27</b:RefOrder>
  </b:Source>
  <b:Source>
    <b:Tag>IDB20</b:Tag>
    <b:SourceType>Report</b:SourceType>
    <b:Guid>{6B67946F-A5DE-491E-B606-5C0801D5C81E}</b:Guid>
    <b:Author>
      <b:Author>
        <b:Corporate>IDB</b:Corporate>
      </b:Author>
    </b:Author>
    <b:Title>Género y Transporte: Cali</b:Title>
    <b:Year>2020</b:Year>
    <b:Publisher>Inter-American Development Bank</b:Publisher>
    <b:RefOrder>28</b:RefOrder>
  </b:Source>
  <b:Source>
    <b:Tag>IFC20</b:Tag>
    <b:SourceType>Report</b:SourceType>
    <b:Guid>{6C12E4F7-3535-42B2-9379-389FA025BC77}</b:Guid>
    <b:Author>
      <b:Author>
        <b:Corporate>IFC</b:Corporate>
      </b:Author>
    </b:Author>
    <b:Title>Gender-Segregated Transportation in Ride-Hailling: Navigating the Debate</b:Title>
    <b:Year>2020</b:Year>
    <b:Publisher>International Finance Corporation</b:Publisher>
    <b:City>Washington DC</b:City>
    <b:RefOrder>29</b:RefOrder>
  </b:Source>
  <b:Source>
    <b:Tag>IDB201</b:Tag>
    <b:SourceType>InternetSite</b:SourceType>
    <b:Guid>{3C3DD9EA-B273-4DC0-BCD8-1311BC2D75A2}</b:Guid>
    <b:Author>
      <b:Author>
        <b:Corporate>IDB</b:Corporate>
      </b:Author>
    </b:Author>
    <b:Title>Gender-based violence: enemy of sustainable mobility</b:Title>
    <b:Year>2020</b:Year>
    <b:InternetSiteTitle>moviliblog</b:InternetSiteTitle>
    <b:URL>https://blogs.iadb.org/transporte/es/violencia-de-genero-enemiga-de-la-movilidad-sostenible/</b:URL>
    <b:RefOrder>30</b:RefOrder>
  </b:Source>
  <b:Source>
    <b:Tag>IDB202</b:Tag>
    <b:SourceType>InternetSite</b:SourceType>
    <b:Guid>{FB7A1B8A-DAD8-42EF-9813-38080C89E92D}</b:Guid>
    <b:Author>
      <b:Author>
        <b:Corporate>IDB</b:Corporate>
      </b:Author>
    </b:Author>
    <b:Title>Giving voice to a cause: campaigns against harassment on public transport</b:Title>
    <b:InternetSiteTitle>moviliblog</b:InternetSiteTitle>
    <b:Year>2020</b:Year>
    <b:Month>June</b:Month>
    <b:URL>https://blogs.iadb.org/transporte/es/dando-voz-a-una-causa-campanas-contra-el-acoso-en-el-transporte-publico/</b:URL>
    <b:RefOrder>31</b:RefOrder>
  </b:Source>
  <b:Source>
    <b:Tag>Agu20</b:Tag>
    <b:SourceType>Report</b:SourceType>
    <b:Guid>{C76966ED-8F8A-4B33-BF7D-7F0CFBF474A9}</b:Guid>
    <b:Author>
      <b:Author>
        <b:NameList>
          <b:Person>
            <b:Last>Aguero</b:Last>
            <b:First>Aileen</b:First>
          </b:Person>
          <b:Person>
            <b:Last>Bustelo</b:Last>
            <b:First>Monoserrat</b:First>
          </b:Person>
          <b:Person>
            <b:Last>Viollaz</b:Last>
            <b:First>Mariana</b:First>
          </b:Person>
        </b:NameList>
      </b:Author>
    </b:Author>
    <b:Title>¿Desigualdades en el mundo digital?: Brechas de género en el uso de las TIC</b:Title>
    <b:Year>2020</b:Year>
    <b:Publisher>Inter-American Development Bank</b:Publisher>
    <b:RefOrder>32</b:RefOrder>
  </b:Source>
  <b:Source>
    <b:Tag>IDB19</b:Tag>
    <b:SourceType>Report</b:SourceType>
    <b:Guid>{415869D4-35F9-4289-98CA-0756712090D6}</b:Guid>
    <b:Author>
      <b:Author>
        <b:Corporate>IDB</b:Corporate>
      </b:Author>
    </b:Author>
    <b:Title>Participación femenina en el mercado laboral de transporte. Experiencias en las ciudades de Transport GenderLAB</b:Title>
    <b:Year>2019</b:Year>
    <b:Publisher>Inter-American Development Bank</b:Publisher>
    <b:URL>https://publications.iadb.org/publications/spanish/document/Participaci%C3%B3n_femenina_en_el_mercado_laboral_de_transporte_es_es.pdf</b:URL>
    <b:RefOrder>33</b:RefOrder>
  </b:Source>
  <b:Source>
    <b:Tag>Kon20</b:Tag>
    <b:SourceType>ArticleInAPeriodical</b:SourceType>
    <b:Guid>{0C1504FD-E9F9-4AE2-9AA2-2B3BB590E93E}</b:Guid>
    <b:Title>Demand for Safe Spaces - Avoiding Harassment and Stigma</b:Title>
    <b:Year>2020</b:Year>
    <b:PeriodicalTitle>Policy Research Working Paper 9269</b:PeriodicalTitle>
    <b:Month>June</b:Month>
    <b:Author>
      <b:Author>
        <b:NameList>
          <b:Person>
            <b:Last>Kondylis</b:Last>
            <b:First>Florence</b:First>
          </b:Person>
          <b:Person>
            <b:Last>Legovini</b:Last>
            <b:First>Arianna</b:First>
          </b:Person>
          <b:Person>
            <b:Last>Vyborny</b:Last>
            <b:First>Kate</b:First>
          </b:Person>
          <b:Person>
            <b:Last>Zwager</b:Last>
            <b:First>Astrid</b:First>
          </b:Person>
          <b:Person>
            <b:Last>Andrade</b:Last>
            <b:First>Luiza</b:First>
          </b:Person>
        </b:NameList>
      </b:Author>
    </b:Author>
    <b:RefOrder>34</b:RefOrder>
  </b:Source>
  <b:Source>
    <b:Tag>Gal16</b:Tag>
    <b:SourceType>Report</b:SourceType>
    <b:Guid>{9494AC28-213A-49A1-A658-3F68F3BAABED}</b:Guid>
    <b:Title>Public transport from a gender perspective: Perception of insecurity and victimization in Asunción and Lima</b:Title>
    <b:Year>2016</b:Year>
    <b:Publisher>Inter-American Development Bank</b:Publisher>
    <b:Author>
      <b:Author>
        <b:NameList>
          <b:Person>
            <b:Last>Galiani</b:Last>
            <b:First>Sebastian</b:First>
          </b:Person>
          <b:Person>
            <b:Last>Jaitman</b:Last>
            <b:First>Laura</b:First>
          </b:Person>
        </b:NameList>
      </b:Author>
    </b:Author>
    <b:RefOrder>35</b:RefOrder>
  </b:Source>
  <b:Source>
    <b:Tag>Wor15</b:Tag>
    <b:SourceType>Report</b:SourceType>
    <b:Guid>{08BA9AB6-3372-48C9-A441-7930517830B7}</b:Guid>
    <b:Author>
      <b:Author>
        <b:Corporate>World Bank Group</b:Corporate>
      </b:Author>
    </b:Author>
    <b:Title>Violence Against Women &amp; Gilrs, Transport Brief</b:Title>
    <b:Year>2015</b:Year>
    <b:Publisher>World Bank Group, The Global  Women's Institute, IDB, ICRW</b:Publisher>
    <b:URL>http://documents1.worldbank.org/curated/en/135811611148441047/pdf/Violence-Against-Women-and-Girls-Resource-Guide-Transport-Brief.pdf</b:URL>
    <b:LCID>en-GB</b:LCID>
    <b:RefOrder>36</b:RefOrder>
  </b:Source>
  <b:Source>
    <b:Tag>Bus19</b:Tag>
    <b:SourceType>Report</b:SourceType>
    <b:Guid>{E94410BC-F817-47BC-A764-4DA333EFE914}</b:Guid>
    <b:Title>The future of work in Latin America and the Caribbean</b:Title>
    <b:Year>2019</b:Year>
    <b:Publisher>Inter-American Development Bank</b:Publisher>
    <b:Author>
      <b:Author>
        <b:NameList>
          <b:Person>
            <b:Last>Bustelo</b:Last>
            <b:First>Monserrat</b:First>
          </b:Person>
          <b:Person>
            <b:Last>Suaya</b:Last>
            <b:First>Agustina</b:First>
          </b:Person>
          <b:Person>
            <b:Last>Viollaz</b:Last>
            <b:First>Mariana</b:First>
          </b:Person>
        </b:NameList>
      </b:Author>
    </b:Author>
    <b:LCID>en-GB</b:LCID>
    <b:RefOrder>37</b:RefOrder>
  </b:Source>
  <b:Source>
    <b:Tag>IFC17</b:Tag>
    <b:SourceType>Report</b:SourceType>
    <b:Guid>{9646F447-0A3E-458A-9B21-BDD19E550BD1}</b:Guid>
    <b:Author>
      <b:Author>
        <b:Corporate>IFC</b:Corporate>
      </b:Author>
    </b:Author>
    <b:Title>Investing in Women : New Evidence for the Business Case</b:Title>
    <b:Year>2017</b:Year>
    <b:Publisher>International Finance Corporation</b:Publisher>
    <b:URL>https://openknowledge.worldbank.org/handle/10986/28973?locale-attribute=fr</b:URL>
    <b:RefOrder>38</b:RefOrder>
  </b:Source>
  <b:Source>
    <b:Tag>But20</b:Tag>
    <b:SourceType>InternetSite</b:SourceType>
    <b:Guid>{3731994F-FB28-4B76-B9D3-E99819D21A2D}</b:Guid>
    <b:Title>DOMESTIC WORKERS LEFT OUT IN THE COLD</b:Title>
    <b:Year>2020</b:Year>
    <b:InternetSiteTitle>Solidarity Center</b:InternetSiteTitle>
    <b:URL>https://www.solidaritycenter.org/domestic-workers-left-out-in-the-cold/</b:URL>
    <b:Author>
      <b:Author>
        <b:NameList>
          <b:Person>
            <b:Last>Butler</b:Last>
            <b:First>Carolyn</b:First>
          </b:Person>
        </b:NameList>
      </b:Author>
    </b:Author>
    <b:RefOrder>39</b:RefOrder>
  </b:Source>
  <b:Source>
    <b:Tag>ECL20</b:Tag>
    <b:SourceType>Report</b:SourceType>
    <b:Guid>{2FDEEC02-89FC-4407-8FCC-B2E636C50073}</b:Guid>
    <b:Title>Employment Situation in Latin America and the Caribbean</b:Title>
    <b:Year>2020</b:Year>
    <b:Author>
      <b:Author>
        <b:Corporate>ECLAC &amp; ILO</b:Corporate>
      </b:Author>
    </b:Author>
    <b:Publisher>UN ECLAC &amp; INternational Labour Organization</b:Publisher>
    <b:RefOrder>40</b:RefOrder>
  </b:Source>
  <b:Source>
    <b:Tag>UNW20</b:Tag>
    <b:SourceType>InternetSite</b:SourceType>
    <b:Guid>{3B19391B-57B5-4C62-B38E-5AB1FE93F0A9}</b:Guid>
    <b:Title>COVID-19 and its economic toll on women: The story behind the numbers</b:Title>
    <b:Year>2020</b:Year>
    <b:Author>
      <b:Author>
        <b:Corporate>UN Women</b:Corporate>
      </b:Author>
    </b:Author>
    <b:InternetSiteTitle>UN Women</b:InternetSiteTitle>
    <b:Month>September</b:Month>
    <b:URL>https://www.unwomen.org/en/news/stories/2020/9/feature-covid-19-economic-impacts-on-women</b:URL>
    <b:RefOrder>41</b:RefOrder>
  </b:Source>
  <b:Source>
    <b:Tag>Wor202</b:Tag>
    <b:SourceType>Report</b:SourceType>
    <b:Guid>{4064BD64-9F28-4378-BA38-9AE90E6D10D0}</b:Guid>
    <b:Title>Gender dimensions of the COVID-19 pandemic</b:Title>
    <b:Year>2020</b:Year>
    <b:URL>http://documents1.worldbank.org/curated/en/618731587147227244/pdf/Gender-Dimensions-of-the-COVID-19-Pandemic.pdf</b:URL>
    <b:Author>
      <b:Author>
        <b:Corporate>World Bank Group</b:Corporate>
      </b:Author>
    </b:Author>
    <b:Publisher>World Bank Group</b:Publisher>
    <b:ThesisType>Policy Note</b:ThesisType>
    <b:RefOrder>42</b:RefOrder>
  </b:Source>
  <b:Source>
    <b:Tag>ILO201</b:Tag>
    <b:SourceType>Report</b:SourceType>
    <b:Guid>{CF5DF273-1676-4119-8C80-BE9009913964}</b:Guid>
    <b:Author>
      <b:Author>
        <b:Corporate>ILO</b:Corporate>
      </b:Author>
    </b:Author>
    <b:Title>Jobs in green and healthy transport: Making the green shift</b:Title>
    <b:Year>2020</b:Year>
    <b:RefOrder>6</b:RefOrder>
  </b:Source>
  <b:Source>
    <b:Tag>Jia21</b:Tag>
    <b:SourceType>DocumentFromInternetSite</b:SourceType>
    <b:Guid>{372FC344-2431-4E22-8E1C-CA06498CE486}</b:Guid>
    <b:Title>Second-life Electric Vehicle Batteries 2020-2030</b:Title>
    <b:Year>2021</b:Year>
    <b:Month>March</b:Month>
    <b:Day>10</b:Day>
    <b:URL>www.idtechex.com/en/research-report/second-life-electric-vehicle-batteries-2020-2030/681</b:URL>
    <b:Author>
      <b:Author>
        <b:NameList>
          <b:Person>
            <b:Last>Jiao</b:Last>
            <b:First>Dr.</b:First>
            <b:Middle>Na</b:Middle>
          </b:Person>
        </b:NameList>
      </b:Author>
    </b:Author>
    <b:RefOrder>1</b:RefOrder>
  </b:Source>
  <b:Source>
    <b:Tag>Dir00</b:Tag>
    <b:SourceType>Misc</b:SourceType>
    <b:Guid>{D93B1C22-0A9E-407F-8425-19D1379D64C8}</b:Guid>
    <b:Year>2000</b:Year>
    <b:URL>https://eur-lex.europa.eu/legal-content/EN/ALL/?uri=CELEX%3A32000L0053</b:URL>
    <b:Publisher>European Parliament, Council of the European Union</b:Publisher>
    <b:Title>Directive 2000/53/EC</b:Title>
    <b:PublicationTitle>Directive 2000/53/EC of the European Parliament and of the Council on end-of life vehicles</b:PublicationTitle>
    <b:RefOrder>2</b:RefOrder>
  </b:Source>
  <b:Source>
    <b:Tag>Röß18</b:Tag>
    <b:SourceType>Report</b:SourceType>
    <b:Guid>{62A9CB3E-FBF9-4E0E-92C0-EE064CB94065}</b:Guid>
    <b:Title>Stromspeicher: Vattenfall baut mehr BMW-Batterien ein</b:Title>
    <b:Year>2018</b:Year>
    <b:Publisher>bizz energy Mediengesellschaft GmbH</b:Publisher>
    <b:URL>bizz-energy.com/stromspeicher_vattenfall_baut_mehr_bmw_batterien_ein</b:URL>
    <b:Author>
      <b:Author>
        <b:NameList>
          <b:Person>
            <b:Last>Rößiger</b:Last>
            <b:First>Monika</b:First>
          </b:Person>
        </b:NameList>
      </b:Author>
    </b:Author>
    <b:RefOrder>4</b:RefOrder>
  </b:Source>
  <b:Source>
    <b:Tag>MarcadorDePosición1</b:Tag>
    <b:SourceType>Misc</b:SourceType>
    <b:Guid>{DEF339D8-A592-4117-9DA5-A343C5CD1314}</b:Guid>
    <b:Title>Reappeal on Directive 2006/66/EC</b:Title>
    <b:Year>2020</b:Year>
    <b:URL>eur-lex.europa.eu/legal-content/EN/TXT/?uri=CELEX:52020PC0798</b:URL>
    <b:Publisher>European Parliament, Council of the European Union </b:Publisher>
    <b:PublicationTitle>Regulation of the European Parliament and of the Council concerning batteries and waste batteries</b:PublicationTitle>
    <b:RefOrder>5</b:RefOrder>
  </b:Source>
  <b:Source>
    <b:Tag>Ley17</b:Tag>
    <b:SourceType>InternetSite</b:SourceType>
    <b:Guid>{ED1360A7-1205-4466-A701-03B4020671E3}</b:Guid>
    <b:Author>
      <b:Author>
        <b:Corporate>Ley Nº 5875</b:Corporate>
      </b:Author>
    </b:Author>
    <b:Title>NACIONAL DE CAMBIO CLIMÁTICO</b:Title>
    <b:Year>2017</b:Year>
    <b:URL>https://www.bacn.gov.py/leyes-paraguayas/8712/ley-n-5875-nacional-de-cambio-climatico</b:URL>
    <b:RefOrder>43</b:RefOrder>
  </b:Source>
  <b:Source>
    <b:Tag>Min18</b:Tag>
    <b:SourceType>Book</b:SourceType>
    <b:Guid>{19FE1BC7-69B5-4D41-B61B-E2EC9AA85F05}</b:Guid>
    <b:Author>
      <b:Author>
        <b:NameList>
          <b:Person>
            <b:Last>Ministerio de Industria</b:Last>
            <b:First>Energía</b:First>
            <b:Middle>y Minería - MIEM</b:Middle>
          </b:Person>
        </b:NameList>
      </b:Author>
    </b:Author>
    <b:Title>Series estadísticas de energía eléctrica</b:Title>
    <b:Year>2018</b:Year>
    <b:RefOrder>44</b:RefOrder>
  </b:Source>
  <b:Source>
    <b:Tag>Ste</b:Tag>
    <b:SourceType>Book</b:SourceType>
    <b:Guid>{C5610309-C4F0-4584-9E5D-ADD299EC7A3E}</b:Guid>
    <b:Author>
      <b:Author>
        <b:NameList>
          <b:Person>
            <b:Last>Stewar</b:Last>
            <b:First>Darlene</b:First>
          </b:Person>
        </b:NameList>
      </b:Author>
    </b:Author>
    <b:Title>Economics and Challenges of Li-Ion Battery Recycling from End-of-Life Vehicles</b:Title>
    <b:JournalName>Science Direct</b:JournalName>
    <b:Year>2019</b:Year>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EB3ED-6BA5-4E94-8F39-AE8B4DD1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a1c8-4e45-4a1a-8889-2d179a44ec4d"/>
    <ds:schemaRef ds:uri="65cf9c0b-cee1-4652-8dbc-686c740a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B1000-BFC7-440E-BEF4-A4D5F33BDA50}">
  <ds:schemaRefs>
    <ds:schemaRef ds:uri="http://schemas.openxmlformats.org/officeDocument/2006/bibliography"/>
  </ds:schemaRefs>
</ds:datastoreItem>
</file>

<file path=customXml/itemProps3.xml><?xml version="1.0" encoding="utf-8"?>
<ds:datastoreItem xmlns:ds="http://schemas.openxmlformats.org/officeDocument/2006/customXml" ds:itemID="{3091DB2B-56C8-41E6-89E8-121C27ADF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88CD1-9C08-429D-83A6-680D9289EA41}">
  <ds:schemaRefs>
    <ds:schemaRef ds:uri="http://schemas.microsoft.com/sharepoint/v3/contenttype/forms"/>
  </ds:schemaRefs>
</ds:datastoreItem>
</file>

<file path=docMetadata/LabelInfo.xml><?xml version="1.0" encoding="utf-8"?>
<clbl:labelList xmlns:clbl="http://schemas.microsoft.com/office/2020/mipLabelMetadata">
  <clbl:label id="{90a29942-befb-451f-acd2-008ff2f022de}" enabled="1" method="Standard" siteId="{80df8eaa-0d7f-41d0-b30a-b96ea50c3879}" removed="0"/>
</clbl:labelList>
</file>

<file path=docProps/app.xml><?xml version="1.0" encoding="utf-8"?>
<Properties xmlns="http://schemas.openxmlformats.org/officeDocument/2006/extended-properties" xmlns:vt="http://schemas.openxmlformats.org/officeDocument/2006/docPropsVTypes">
  <Template>Normal</Template>
  <TotalTime>15</TotalTime>
  <Pages>100</Pages>
  <Words>38480</Words>
  <Characters>211646</Characters>
  <Application>Microsoft Office Word</Application>
  <DocSecurity>0</DocSecurity>
  <Lines>1763</Lines>
  <Paragraphs>499</Paragraphs>
  <ScaleCrop>false</ScaleCrop>
  <HeadingPairs>
    <vt:vector size="6" baseType="variant">
      <vt:variant>
        <vt:lpstr>Título</vt:lpstr>
      </vt:variant>
      <vt:variant>
        <vt:i4>1</vt:i4>
      </vt:variant>
      <vt:variant>
        <vt:lpstr>Títulos</vt:lpstr>
      </vt:variant>
      <vt:variant>
        <vt:i4>11</vt:i4>
      </vt:variant>
      <vt:variant>
        <vt:lpstr>Title</vt:lpstr>
      </vt:variant>
      <vt:variant>
        <vt:i4>1</vt:i4>
      </vt:variant>
    </vt:vector>
  </HeadingPairs>
  <TitlesOfParts>
    <vt:vector size="13" baseType="lpstr">
      <vt:lpstr/>
      <vt:lpstr>Executive Summary</vt:lpstr>
      <vt:lpstr>Objectives of the ESA and ESMF</vt:lpstr>
      <vt:lpstr>Program Description</vt:lpstr>
      <vt:lpstr>Program Scope</vt:lpstr>
      <vt:lpstr>Eligible sub-projects</vt:lpstr>
      <vt:lpstr>Sub-Program 2 implementation scheme </vt:lpstr>
      <vt:lpstr>Country context</vt:lpstr>
      <vt:lpstr>Policies and applicable regulatory frameworks </vt:lpstr>
      <vt:lpstr>Panamá</vt:lpstr>
      <vt:lpstr>Paraguay</vt:lpstr>
      <vt:lpstr>Uruguay</vt:lpstr>
      <vt:lpstr/>
    </vt:vector>
  </TitlesOfParts>
  <Company/>
  <LinksUpToDate>false</LinksUpToDate>
  <CharactersWithSpaces>249627</CharactersWithSpaces>
  <SharedDoc>false</SharedDoc>
  <HLinks>
    <vt:vector size="396" baseType="variant">
      <vt:variant>
        <vt:i4>5570635</vt:i4>
      </vt:variant>
      <vt:variant>
        <vt:i4>348</vt:i4>
      </vt:variant>
      <vt:variant>
        <vt:i4>0</vt:i4>
      </vt:variant>
      <vt:variant>
        <vt:i4>5</vt:i4>
      </vt:variant>
      <vt:variant>
        <vt:lpwstr>http://pubdocs.worldbank.org/en/837721522762050108/Environmental-and-Social-Framework.pdf</vt:lpwstr>
      </vt:variant>
      <vt:variant>
        <vt:lpwstr>page=111&amp;zoom=80</vt:lpwstr>
      </vt:variant>
      <vt:variant>
        <vt:i4>655384</vt:i4>
      </vt:variant>
      <vt:variant>
        <vt:i4>345</vt:i4>
      </vt:variant>
      <vt:variant>
        <vt:i4>0</vt:i4>
      </vt:variant>
      <vt:variant>
        <vt:i4>5</vt:i4>
      </vt:variant>
      <vt:variant>
        <vt:lpwstr>http://www.unep.org/ozone/montreal.shtml</vt:lpwstr>
      </vt:variant>
      <vt:variant>
        <vt:lpwstr/>
      </vt:variant>
      <vt:variant>
        <vt:i4>8061053</vt:i4>
      </vt:variant>
      <vt:variant>
        <vt:i4>342</vt:i4>
      </vt:variant>
      <vt:variant>
        <vt:i4>0</vt:i4>
      </vt:variant>
      <vt:variant>
        <vt:i4>5</vt:i4>
      </vt:variant>
      <vt:variant>
        <vt:lpwstr>http://www.idtechex.com/en/research-report/second-life-electric-vehicle-batteries-2020-2030/681</vt:lpwstr>
      </vt:variant>
      <vt:variant>
        <vt:lpwstr/>
      </vt:variant>
      <vt:variant>
        <vt:i4>7995491</vt:i4>
      </vt:variant>
      <vt:variant>
        <vt:i4>339</vt:i4>
      </vt:variant>
      <vt:variant>
        <vt:i4>0</vt:i4>
      </vt:variant>
      <vt:variant>
        <vt:i4>5</vt:i4>
      </vt:variant>
      <vt:variant>
        <vt:lpwstr>https://eur-lex.europa.eu/legal-content/EN/ALL/?uri=CELEX%3A32000L0053</vt:lpwstr>
      </vt:variant>
      <vt:variant>
        <vt:lpwstr/>
      </vt:variant>
      <vt:variant>
        <vt:i4>1114143</vt:i4>
      </vt:variant>
      <vt:variant>
        <vt:i4>336</vt:i4>
      </vt:variant>
      <vt:variant>
        <vt:i4>0</vt:i4>
      </vt:variant>
      <vt:variant>
        <vt:i4>5</vt:i4>
      </vt:variant>
      <vt:variant>
        <vt:lpwstr>https://www.caf.com/media/5614351/salvaguardas ambientales y sociales caf.pdf</vt:lpwstr>
      </vt:variant>
      <vt:variant>
        <vt:lpwstr/>
      </vt:variant>
      <vt:variant>
        <vt:i4>1114143</vt:i4>
      </vt:variant>
      <vt:variant>
        <vt:i4>333</vt:i4>
      </vt:variant>
      <vt:variant>
        <vt:i4>0</vt:i4>
      </vt:variant>
      <vt:variant>
        <vt:i4>5</vt:i4>
      </vt:variant>
      <vt:variant>
        <vt:lpwstr>https://www.caf.com/media/5614351/salvaguardas ambientales y sociales caf.pdf</vt:lpwstr>
      </vt:variant>
      <vt:variant>
        <vt:lpwstr/>
      </vt:variant>
      <vt:variant>
        <vt:i4>1245278</vt:i4>
      </vt:variant>
      <vt:variant>
        <vt:i4>330</vt:i4>
      </vt:variant>
      <vt:variant>
        <vt:i4>0</vt:i4>
      </vt:variant>
      <vt:variant>
        <vt:i4>5</vt:i4>
      </vt:variant>
      <vt:variant>
        <vt:lpwstr>https://www.caf.com/media/3381442/guideline-genderdiscriminationsexualharrasmentfinal.pdf</vt:lpwstr>
      </vt:variant>
      <vt:variant>
        <vt:lpwstr/>
      </vt:variant>
      <vt:variant>
        <vt:i4>6619261</vt:i4>
      </vt:variant>
      <vt:variant>
        <vt:i4>327</vt:i4>
      </vt:variant>
      <vt:variant>
        <vt:i4>0</vt:i4>
      </vt:variant>
      <vt:variant>
        <vt:i4>5</vt:i4>
      </vt:variant>
      <vt:variant>
        <vt:lpwstr>https://www.caf.com/media/3381441/accountabilitymechanismfinal.pdf</vt:lpwstr>
      </vt:variant>
      <vt:variant>
        <vt:lpwstr/>
      </vt:variant>
      <vt:variant>
        <vt:i4>5308423</vt:i4>
      </vt:variant>
      <vt:variant>
        <vt:i4>324</vt:i4>
      </vt:variant>
      <vt:variant>
        <vt:i4>0</vt:i4>
      </vt:variant>
      <vt:variant>
        <vt:i4>5</vt:i4>
      </vt:variant>
      <vt:variant>
        <vt:lpwstr>https://www.caf.com/es/temas/a/ambiente-y-cambio-climatico/proyectos/</vt:lpwstr>
      </vt:variant>
      <vt:variant>
        <vt:lpwstr/>
      </vt:variant>
      <vt:variant>
        <vt:i4>6225946</vt:i4>
      </vt:variant>
      <vt:variant>
        <vt:i4>321</vt:i4>
      </vt:variant>
      <vt:variant>
        <vt:i4>0</vt:i4>
      </vt:variant>
      <vt:variant>
        <vt:i4>5</vt:i4>
      </vt:variant>
      <vt:variant>
        <vt:lpwstr>https://www.caf.com/es/sobre-caf/que-hacemos/acceso-a-la-informacion/prevencion-de-practicas-prohibidas/</vt:lpwstr>
      </vt:variant>
      <vt:variant>
        <vt:lpwstr/>
      </vt:variant>
      <vt:variant>
        <vt:i4>6225946</vt:i4>
      </vt:variant>
      <vt:variant>
        <vt:i4>318</vt:i4>
      </vt:variant>
      <vt:variant>
        <vt:i4>0</vt:i4>
      </vt:variant>
      <vt:variant>
        <vt:i4>5</vt:i4>
      </vt:variant>
      <vt:variant>
        <vt:lpwstr>https://www.caf.com/es/sobre-caf/que-hacemos/acceso-a-la-informacion/prevencion-de-practicas-prohibidas/</vt:lpwstr>
      </vt:variant>
      <vt:variant>
        <vt:lpwstr/>
      </vt:variant>
      <vt:variant>
        <vt:i4>655369</vt:i4>
      </vt:variant>
      <vt:variant>
        <vt:i4>255</vt:i4>
      </vt:variant>
      <vt:variant>
        <vt:i4>0</vt:i4>
      </vt:variant>
      <vt:variant>
        <vt:i4>5</vt:i4>
      </vt:variant>
      <vt:variant>
        <vt:lpwstr>https://www.climate-laws.org/</vt:lpwstr>
      </vt:variant>
      <vt:variant>
        <vt:lpwstr/>
      </vt:variant>
      <vt:variant>
        <vt:i4>4915223</vt:i4>
      </vt:variant>
      <vt:variant>
        <vt:i4>252</vt:i4>
      </vt:variant>
      <vt:variant>
        <vt:i4>0</vt:i4>
      </vt:variant>
      <vt:variant>
        <vt:i4>5</vt:i4>
      </vt:variant>
      <vt:variant>
        <vt:lpwstr>https://generoeninfraestructura.iadb.org/</vt:lpwstr>
      </vt:variant>
      <vt:variant>
        <vt:lpwstr/>
      </vt:variant>
      <vt:variant>
        <vt:i4>3145764</vt:i4>
      </vt:variant>
      <vt:variant>
        <vt:i4>249</vt:i4>
      </vt:variant>
      <vt:variant>
        <vt:i4>0</vt:i4>
      </vt:variant>
      <vt:variant>
        <vt:i4>5</vt:i4>
      </vt:variant>
      <vt:variant>
        <vt:lpwstr>http://www.mades.gov.py/leyes/</vt:lpwstr>
      </vt:variant>
      <vt:variant>
        <vt:lpwstr/>
      </vt:variant>
      <vt:variant>
        <vt:i4>4456516</vt:i4>
      </vt:variant>
      <vt:variant>
        <vt:i4>246</vt:i4>
      </vt:variant>
      <vt:variant>
        <vt:i4>0</vt:i4>
      </vt:variant>
      <vt:variant>
        <vt:i4>5</vt:i4>
      </vt:variant>
      <vt:variant>
        <vt:lpwstr>https://utp.ac.pa/leyes-de-genero</vt:lpwstr>
      </vt:variant>
      <vt:variant>
        <vt:lpwstr/>
      </vt:variant>
      <vt:variant>
        <vt:i4>5308489</vt:i4>
      </vt:variant>
      <vt:variant>
        <vt:i4>243</vt:i4>
      </vt:variant>
      <vt:variant>
        <vt:i4>0</vt:i4>
      </vt:variant>
      <vt:variant>
        <vt:i4>5</vt:i4>
      </vt:variant>
      <vt:variant>
        <vt:lpwstr>https://generoeninfraestructura.iadb.org/en/country/paraguay</vt:lpwstr>
      </vt:variant>
      <vt:variant>
        <vt:lpwstr/>
      </vt:variant>
      <vt:variant>
        <vt:i4>3801192</vt:i4>
      </vt:variant>
      <vt:variant>
        <vt:i4>240</vt:i4>
      </vt:variant>
      <vt:variant>
        <vt:i4>0</vt:i4>
      </vt:variant>
      <vt:variant>
        <vt:i4>5</vt:i4>
      </vt:variant>
      <vt:variant>
        <vt:lpwstr>https://estrucplan.com.ar/republica-de-panama/</vt:lpwstr>
      </vt:variant>
      <vt:variant>
        <vt:lpwstr/>
      </vt:variant>
      <vt:variant>
        <vt:i4>6750313</vt:i4>
      </vt:variant>
      <vt:variant>
        <vt:i4>237</vt:i4>
      </vt:variant>
      <vt:variant>
        <vt:i4>0</vt:i4>
      </vt:variant>
      <vt:variant>
        <vt:i4>5</vt:i4>
      </vt:variant>
      <vt:variant>
        <vt:lpwstr>https://thelawreviews.co.uk/title/the-environment-and-climate-change-law-review/panama</vt:lpwstr>
      </vt:variant>
      <vt:variant>
        <vt:lpwstr/>
      </vt:variant>
      <vt:variant>
        <vt:i4>3342379</vt:i4>
      </vt:variant>
      <vt:variant>
        <vt:i4>234</vt:i4>
      </vt:variant>
      <vt:variant>
        <vt:i4>0</vt:i4>
      </vt:variant>
      <vt:variant>
        <vt:i4>5</vt:i4>
      </vt:variant>
      <vt:variant>
        <vt:lpwstr>https://www.sinia.gob.pa/index.php/marco-legal/marco-legal2</vt:lpwstr>
      </vt:variant>
      <vt:variant>
        <vt:lpwstr/>
      </vt:variant>
      <vt:variant>
        <vt:i4>1048626</vt:i4>
      </vt:variant>
      <vt:variant>
        <vt:i4>200</vt:i4>
      </vt:variant>
      <vt:variant>
        <vt:i4>0</vt:i4>
      </vt:variant>
      <vt:variant>
        <vt:i4>5</vt:i4>
      </vt:variant>
      <vt:variant>
        <vt:lpwstr/>
      </vt:variant>
      <vt:variant>
        <vt:lpwstr>_Toc114152254</vt:lpwstr>
      </vt:variant>
      <vt:variant>
        <vt:i4>1048626</vt:i4>
      </vt:variant>
      <vt:variant>
        <vt:i4>194</vt:i4>
      </vt:variant>
      <vt:variant>
        <vt:i4>0</vt:i4>
      </vt:variant>
      <vt:variant>
        <vt:i4>5</vt:i4>
      </vt:variant>
      <vt:variant>
        <vt:lpwstr/>
      </vt:variant>
      <vt:variant>
        <vt:lpwstr>_Toc114152253</vt:lpwstr>
      </vt:variant>
      <vt:variant>
        <vt:i4>1114162</vt:i4>
      </vt:variant>
      <vt:variant>
        <vt:i4>188</vt:i4>
      </vt:variant>
      <vt:variant>
        <vt:i4>0</vt:i4>
      </vt:variant>
      <vt:variant>
        <vt:i4>5</vt:i4>
      </vt:variant>
      <vt:variant>
        <vt:lpwstr/>
      </vt:variant>
      <vt:variant>
        <vt:lpwstr>_Toc114152249</vt:lpwstr>
      </vt:variant>
      <vt:variant>
        <vt:i4>1507378</vt:i4>
      </vt:variant>
      <vt:variant>
        <vt:i4>182</vt:i4>
      </vt:variant>
      <vt:variant>
        <vt:i4>0</vt:i4>
      </vt:variant>
      <vt:variant>
        <vt:i4>5</vt:i4>
      </vt:variant>
      <vt:variant>
        <vt:lpwstr/>
      </vt:variant>
      <vt:variant>
        <vt:lpwstr>_Toc114152229</vt:lpwstr>
      </vt:variant>
      <vt:variant>
        <vt:i4>1507378</vt:i4>
      </vt:variant>
      <vt:variant>
        <vt:i4>176</vt:i4>
      </vt:variant>
      <vt:variant>
        <vt:i4>0</vt:i4>
      </vt:variant>
      <vt:variant>
        <vt:i4>5</vt:i4>
      </vt:variant>
      <vt:variant>
        <vt:lpwstr/>
      </vt:variant>
      <vt:variant>
        <vt:lpwstr>_Toc114152228</vt:lpwstr>
      </vt:variant>
      <vt:variant>
        <vt:i4>1507378</vt:i4>
      </vt:variant>
      <vt:variant>
        <vt:i4>170</vt:i4>
      </vt:variant>
      <vt:variant>
        <vt:i4>0</vt:i4>
      </vt:variant>
      <vt:variant>
        <vt:i4>5</vt:i4>
      </vt:variant>
      <vt:variant>
        <vt:lpwstr/>
      </vt:variant>
      <vt:variant>
        <vt:lpwstr>_Toc114152227</vt:lpwstr>
      </vt:variant>
      <vt:variant>
        <vt:i4>1507378</vt:i4>
      </vt:variant>
      <vt:variant>
        <vt:i4>164</vt:i4>
      </vt:variant>
      <vt:variant>
        <vt:i4>0</vt:i4>
      </vt:variant>
      <vt:variant>
        <vt:i4>5</vt:i4>
      </vt:variant>
      <vt:variant>
        <vt:lpwstr/>
      </vt:variant>
      <vt:variant>
        <vt:lpwstr>_Toc114152226</vt:lpwstr>
      </vt:variant>
      <vt:variant>
        <vt:i4>1507378</vt:i4>
      </vt:variant>
      <vt:variant>
        <vt:i4>158</vt:i4>
      </vt:variant>
      <vt:variant>
        <vt:i4>0</vt:i4>
      </vt:variant>
      <vt:variant>
        <vt:i4>5</vt:i4>
      </vt:variant>
      <vt:variant>
        <vt:lpwstr/>
      </vt:variant>
      <vt:variant>
        <vt:lpwstr>_Toc114152225</vt:lpwstr>
      </vt:variant>
      <vt:variant>
        <vt:i4>1507378</vt:i4>
      </vt:variant>
      <vt:variant>
        <vt:i4>152</vt:i4>
      </vt:variant>
      <vt:variant>
        <vt:i4>0</vt:i4>
      </vt:variant>
      <vt:variant>
        <vt:i4>5</vt:i4>
      </vt:variant>
      <vt:variant>
        <vt:lpwstr/>
      </vt:variant>
      <vt:variant>
        <vt:lpwstr>_Toc114152224</vt:lpwstr>
      </vt:variant>
      <vt:variant>
        <vt:i4>1507378</vt:i4>
      </vt:variant>
      <vt:variant>
        <vt:i4>146</vt:i4>
      </vt:variant>
      <vt:variant>
        <vt:i4>0</vt:i4>
      </vt:variant>
      <vt:variant>
        <vt:i4>5</vt:i4>
      </vt:variant>
      <vt:variant>
        <vt:lpwstr/>
      </vt:variant>
      <vt:variant>
        <vt:lpwstr>_Toc114152223</vt:lpwstr>
      </vt:variant>
      <vt:variant>
        <vt:i4>1507378</vt:i4>
      </vt:variant>
      <vt:variant>
        <vt:i4>140</vt:i4>
      </vt:variant>
      <vt:variant>
        <vt:i4>0</vt:i4>
      </vt:variant>
      <vt:variant>
        <vt:i4>5</vt:i4>
      </vt:variant>
      <vt:variant>
        <vt:lpwstr/>
      </vt:variant>
      <vt:variant>
        <vt:lpwstr>_Toc114152222</vt:lpwstr>
      </vt:variant>
      <vt:variant>
        <vt:i4>1507378</vt:i4>
      </vt:variant>
      <vt:variant>
        <vt:i4>134</vt:i4>
      </vt:variant>
      <vt:variant>
        <vt:i4>0</vt:i4>
      </vt:variant>
      <vt:variant>
        <vt:i4>5</vt:i4>
      </vt:variant>
      <vt:variant>
        <vt:lpwstr/>
      </vt:variant>
      <vt:variant>
        <vt:lpwstr>_Toc114152221</vt:lpwstr>
      </vt:variant>
      <vt:variant>
        <vt:i4>1507378</vt:i4>
      </vt:variant>
      <vt:variant>
        <vt:i4>128</vt:i4>
      </vt:variant>
      <vt:variant>
        <vt:i4>0</vt:i4>
      </vt:variant>
      <vt:variant>
        <vt:i4>5</vt:i4>
      </vt:variant>
      <vt:variant>
        <vt:lpwstr/>
      </vt:variant>
      <vt:variant>
        <vt:lpwstr>_Toc114152220</vt:lpwstr>
      </vt:variant>
      <vt:variant>
        <vt:i4>1310770</vt:i4>
      </vt:variant>
      <vt:variant>
        <vt:i4>122</vt:i4>
      </vt:variant>
      <vt:variant>
        <vt:i4>0</vt:i4>
      </vt:variant>
      <vt:variant>
        <vt:i4>5</vt:i4>
      </vt:variant>
      <vt:variant>
        <vt:lpwstr/>
      </vt:variant>
      <vt:variant>
        <vt:lpwstr>_Toc114152219</vt:lpwstr>
      </vt:variant>
      <vt:variant>
        <vt:i4>1310770</vt:i4>
      </vt:variant>
      <vt:variant>
        <vt:i4>116</vt:i4>
      </vt:variant>
      <vt:variant>
        <vt:i4>0</vt:i4>
      </vt:variant>
      <vt:variant>
        <vt:i4>5</vt:i4>
      </vt:variant>
      <vt:variant>
        <vt:lpwstr/>
      </vt:variant>
      <vt:variant>
        <vt:lpwstr>_Toc114152218</vt:lpwstr>
      </vt:variant>
      <vt:variant>
        <vt:i4>1310770</vt:i4>
      </vt:variant>
      <vt:variant>
        <vt:i4>110</vt:i4>
      </vt:variant>
      <vt:variant>
        <vt:i4>0</vt:i4>
      </vt:variant>
      <vt:variant>
        <vt:i4>5</vt:i4>
      </vt:variant>
      <vt:variant>
        <vt:lpwstr/>
      </vt:variant>
      <vt:variant>
        <vt:lpwstr>_Toc114152217</vt:lpwstr>
      </vt:variant>
      <vt:variant>
        <vt:i4>1310770</vt:i4>
      </vt:variant>
      <vt:variant>
        <vt:i4>104</vt:i4>
      </vt:variant>
      <vt:variant>
        <vt:i4>0</vt:i4>
      </vt:variant>
      <vt:variant>
        <vt:i4>5</vt:i4>
      </vt:variant>
      <vt:variant>
        <vt:lpwstr/>
      </vt:variant>
      <vt:variant>
        <vt:lpwstr>_Toc114152216</vt:lpwstr>
      </vt:variant>
      <vt:variant>
        <vt:i4>1310770</vt:i4>
      </vt:variant>
      <vt:variant>
        <vt:i4>98</vt:i4>
      </vt:variant>
      <vt:variant>
        <vt:i4>0</vt:i4>
      </vt:variant>
      <vt:variant>
        <vt:i4>5</vt:i4>
      </vt:variant>
      <vt:variant>
        <vt:lpwstr/>
      </vt:variant>
      <vt:variant>
        <vt:lpwstr>_Toc114152215</vt:lpwstr>
      </vt:variant>
      <vt:variant>
        <vt:i4>1310770</vt:i4>
      </vt:variant>
      <vt:variant>
        <vt:i4>92</vt:i4>
      </vt:variant>
      <vt:variant>
        <vt:i4>0</vt:i4>
      </vt:variant>
      <vt:variant>
        <vt:i4>5</vt:i4>
      </vt:variant>
      <vt:variant>
        <vt:lpwstr/>
      </vt:variant>
      <vt:variant>
        <vt:lpwstr>_Toc114152214</vt:lpwstr>
      </vt:variant>
      <vt:variant>
        <vt:i4>1310770</vt:i4>
      </vt:variant>
      <vt:variant>
        <vt:i4>86</vt:i4>
      </vt:variant>
      <vt:variant>
        <vt:i4>0</vt:i4>
      </vt:variant>
      <vt:variant>
        <vt:i4>5</vt:i4>
      </vt:variant>
      <vt:variant>
        <vt:lpwstr/>
      </vt:variant>
      <vt:variant>
        <vt:lpwstr>_Toc114152213</vt:lpwstr>
      </vt:variant>
      <vt:variant>
        <vt:i4>1310770</vt:i4>
      </vt:variant>
      <vt:variant>
        <vt:i4>80</vt:i4>
      </vt:variant>
      <vt:variant>
        <vt:i4>0</vt:i4>
      </vt:variant>
      <vt:variant>
        <vt:i4>5</vt:i4>
      </vt:variant>
      <vt:variant>
        <vt:lpwstr/>
      </vt:variant>
      <vt:variant>
        <vt:lpwstr>_Toc114152212</vt:lpwstr>
      </vt:variant>
      <vt:variant>
        <vt:i4>1310770</vt:i4>
      </vt:variant>
      <vt:variant>
        <vt:i4>74</vt:i4>
      </vt:variant>
      <vt:variant>
        <vt:i4>0</vt:i4>
      </vt:variant>
      <vt:variant>
        <vt:i4>5</vt:i4>
      </vt:variant>
      <vt:variant>
        <vt:lpwstr/>
      </vt:variant>
      <vt:variant>
        <vt:lpwstr>_Toc114152211</vt:lpwstr>
      </vt:variant>
      <vt:variant>
        <vt:i4>1310770</vt:i4>
      </vt:variant>
      <vt:variant>
        <vt:i4>68</vt:i4>
      </vt:variant>
      <vt:variant>
        <vt:i4>0</vt:i4>
      </vt:variant>
      <vt:variant>
        <vt:i4>5</vt:i4>
      </vt:variant>
      <vt:variant>
        <vt:lpwstr/>
      </vt:variant>
      <vt:variant>
        <vt:lpwstr>_Toc114152210</vt:lpwstr>
      </vt:variant>
      <vt:variant>
        <vt:i4>1376306</vt:i4>
      </vt:variant>
      <vt:variant>
        <vt:i4>62</vt:i4>
      </vt:variant>
      <vt:variant>
        <vt:i4>0</vt:i4>
      </vt:variant>
      <vt:variant>
        <vt:i4>5</vt:i4>
      </vt:variant>
      <vt:variant>
        <vt:lpwstr/>
      </vt:variant>
      <vt:variant>
        <vt:lpwstr>_Toc114152209</vt:lpwstr>
      </vt:variant>
      <vt:variant>
        <vt:i4>1376306</vt:i4>
      </vt:variant>
      <vt:variant>
        <vt:i4>56</vt:i4>
      </vt:variant>
      <vt:variant>
        <vt:i4>0</vt:i4>
      </vt:variant>
      <vt:variant>
        <vt:i4>5</vt:i4>
      </vt:variant>
      <vt:variant>
        <vt:lpwstr/>
      </vt:variant>
      <vt:variant>
        <vt:lpwstr>_Toc114152208</vt:lpwstr>
      </vt:variant>
      <vt:variant>
        <vt:i4>1376306</vt:i4>
      </vt:variant>
      <vt:variant>
        <vt:i4>50</vt:i4>
      </vt:variant>
      <vt:variant>
        <vt:i4>0</vt:i4>
      </vt:variant>
      <vt:variant>
        <vt:i4>5</vt:i4>
      </vt:variant>
      <vt:variant>
        <vt:lpwstr/>
      </vt:variant>
      <vt:variant>
        <vt:lpwstr>_Toc114152207</vt:lpwstr>
      </vt:variant>
      <vt:variant>
        <vt:i4>1376306</vt:i4>
      </vt:variant>
      <vt:variant>
        <vt:i4>44</vt:i4>
      </vt:variant>
      <vt:variant>
        <vt:i4>0</vt:i4>
      </vt:variant>
      <vt:variant>
        <vt:i4>5</vt:i4>
      </vt:variant>
      <vt:variant>
        <vt:lpwstr/>
      </vt:variant>
      <vt:variant>
        <vt:lpwstr>_Toc114152206</vt:lpwstr>
      </vt:variant>
      <vt:variant>
        <vt:i4>1376306</vt:i4>
      </vt:variant>
      <vt:variant>
        <vt:i4>38</vt:i4>
      </vt:variant>
      <vt:variant>
        <vt:i4>0</vt:i4>
      </vt:variant>
      <vt:variant>
        <vt:i4>5</vt:i4>
      </vt:variant>
      <vt:variant>
        <vt:lpwstr/>
      </vt:variant>
      <vt:variant>
        <vt:lpwstr>_Toc114152205</vt:lpwstr>
      </vt:variant>
      <vt:variant>
        <vt:i4>1376306</vt:i4>
      </vt:variant>
      <vt:variant>
        <vt:i4>32</vt:i4>
      </vt:variant>
      <vt:variant>
        <vt:i4>0</vt:i4>
      </vt:variant>
      <vt:variant>
        <vt:i4>5</vt:i4>
      </vt:variant>
      <vt:variant>
        <vt:lpwstr/>
      </vt:variant>
      <vt:variant>
        <vt:lpwstr>_Toc114152204</vt:lpwstr>
      </vt:variant>
      <vt:variant>
        <vt:i4>1376306</vt:i4>
      </vt:variant>
      <vt:variant>
        <vt:i4>26</vt:i4>
      </vt:variant>
      <vt:variant>
        <vt:i4>0</vt:i4>
      </vt:variant>
      <vt:variant>
        <vt:i4>5</vt:i4>
      </vt:variant>
      <vt:variant>
        <vt:lpwstr/>
      </vt:variant>
      <vt:variant>
        <vt:lpwstr>_Toc114152203</vt:lpwstr>
      </vt:variant>
      <vt:variant>
        <vt:i4>1376306</vt:i4>
      </vt:variant>
      <vt:variant>
        <vt:i4>20</vt:i4>
      </vt:variant>
      <vt:variant>
        <vt:i4>0</vt:i4>
      </vt:variant>
      <vt:variant>
        <vt:i4>5</vt:i4>
      </vt:variant>
      <vt:variant>
        <vt:lpwstr/>
      </vt:variant>
      <vt:variant>
        <vt:lpwstr>_Toc114152202</vt:lpwstr>
      </vt:variant>
      <vt:variant>
        <vt:i4>1376306</vt:i4>
      </vt:variant>
      <vt:variant>
        <vt:i4>14</vt:i4>
      </vt:variant>
      <vt:variant>
        <vt:i4>0</vt:i4>
      </vt:variant>
      <vt:variant>
        <vt:i4>5</vt:i4>
      </vt:variant>
      <vt:variant>
        <vt:lpwstr/>
      </vt:variant>
      <vt:variant>
        <vt:lpwstr>_Toc114152201</vt:lpwstr>
      </vt:variant>
      <vt:variant>
        <vt:i4>1376306</vt:i4>
      </vt:variant>
      <vt:variant>
        <vt:i4>8</vt:i4>
      </vt:variant>
      <vt:variant>
        <vt:i4>0</vt:i4>
      </vt:variant>
      <vt:variant>
        <vt:i4>5</vt:i4>
      </vt:variant>
      <vt:variant>
        <vt:lpwstr/>
      </vt:variant>
      <vt:variant>
        <vt:lpwstr>_Toc114152200</vt:lpwstr>
      </vt:variant>
      <vt:variant>
        <vt:i4>1835057</vt:i4>
      </vt:variant>
      <vt:variant>
        <vt:i4>2</vt:i4>
      </vt:variant>
      <vt:variant>
        <vt:i4>0</vt:i4>
      </vt:variant>
      <vt:variant>
        <vt:i4>5</vt:i4>
      </vt:variant>
      <vt:variant>
        <vt:lpwstr/>
      </vt:variant>
      <vt:variant>
        <vt:lpwstr>_Toc114152199</vt:lpwstr>
      </vt:variant>
      <vt:variant>
        <vt:i4>65647</vt:i4>
      </vt:variant>
      <vt:variant>
        <vt:i4>9</vt:i4>
      </vt:variant>
      <vt:variant>
        <vt:i4>0</vt:i4>
      </vt:variant>
      <vt:variant>
        <vt:i4>5</vt:i4>
      </vt:variant>
      <vt:variant>
        <vt:lpwstr>https://www.mee.gov.cn/ywgz/fgbz/bz/bzwb/gthw/qtxgbz/202108/t20210820_858544.shtml</vt:lpwstr>
      </vt:variant>
      <vt:variant>
        <vt:lpwstr/>
      </vt:variant>
      <vt:variant>
        <vt:i4>5767234</vt:i4>
      </vt:variant>
      <vt:variant>
        <vt:i4>6</vt:i4>
      </vt:variant>
      <vt:variant>
        <vt:i4>0</vt:i4>
      </vt:variant>
      <vt:variant>
        <vt:i4>5</vt:i4>
      </vt:variant>
      <vt:variant>
        <vt:lpwstr>https://www.iwgia.org/es/panama/4794-mi-2022-panama.html</vt:lpwstr>
      </vt:variant>
      <vt:variant>
        <vt:lpwstr>:~:text=A%20pesar%20de%20no%20haber%20ratificado%20el%20Convenio,cuando%20se%20trata%20de%20actividades%20en%20sus%20territorios.</vt:lpwstr>
      </vt:variant>
      <vt:variant>
        <vt:i4>6684722</vt:i4>
      </vt:variant>
      <vt:variant>
        <vt:i4>3</vt:i4>
      </vt:variant>
      <vt:variant>
        <vt:i4>0</vt:i4>
      </vt:variant>
      <vt:variant>
        <vt:i4>5</vt:i4>
      </vt:variant>
      <vt:variant>
        <vt:lpwstr>https://movelatam.org/wp-content/uploads/2019/07/ENME-Panama-Estrategia.pdf</vt:lpwstr>
      </vt:variant>
      <vt:variant>
        <vt:lpwstr/>
      </vt:variant>
      <vt:variant>
        <vt:i4>5046283</vt:i4>
      </vt:variant>
      <vt:variant>
        <vt:i4>0</vt:i4>
      </vt:variant>
      <vt:variant>
        <vt:i4>0</vt:i4>
      </vt:variant>
      <vt:variant>
        <vt:i4>5</vt:i4>
      </vt:variant>
      <vt:variant>
        <vt:lpwstr>https://data.worldbank.org/country/panama?view=chart</vt:lpwstr>
      </vt:variant>
      <vt:variant>
        <vt:lpwstr/>
      </vt:variant>
      <vt:variant>
        <vt:i4>1245278</vt:i4>
      </vt:variant>
      <vt:variant>
        <vt:i4>24</vt:i4>
      </vt:variant>
      <vt:variant>
        <vt:i4>0</vt:i4>
      </vt:variant>
      <vt:variant>
        <vt:i4>5</vt:i4>
      </vt:variant>
      <vt:variant>
        <vt:lpwstr>https://www.caf.com/media/3381442/guideline-genderdiscriminationsexualharrasmentfinal.pdf</vt:lpwstr>
      </vt:variant>
      <vt:variant>
        <vt:lpwstr/>
      </vt:variant>
      <vt:variant>
        <vt:i4>6619261</vt:i4>
      </vt:variant>
      <vt:variant>
        <vt:i4>21</vt:i4>
      </vt:variant>
      <vt:variant>
        <vt:i4>0</vt:i4>
      </vt:variant>
      <vt:variant>
        <vt:i4>5</vt:i4>
      </vt:variant>
      <vt:variant>
        <vt:lpwstr>https://www.caf.com/media/3381441/accountabilitymechanismfinal.pdf</vt:lpwstr>
      </vt:variant>
      <vt:variant>
        <vt:lpwstr/>
      </vt:variant>
      <vt:variant>
        <vt:i4>5308423</vt:i4>
      </vt:variant>
      <vt:variant>
        <vt:i4>18</vt:i4>
      </vt:variant>
      <vt:variant>
        <vt:i4>0</vt:i4>
      </vt:variant>
      <vt:variant>
        <vt:i4>5</vt:i4>
      </vt:variant>
      <vt:variant>
        <vt:lpwstr>https://www.caf.com/es/temas/a/ambiente-y-cambio-climatico/proyectos/</vt:lpwstr>
      </vt:variant>
      <vt:variant>
        <vt:lpwstr/>
      </vt:variant>
      <vt:variant>
        <vt:i4>6225946</vt:i4>
      </vt:variant>
      <vt:variant>
        <vt:i4>15</vt:i4>
      </vt:variant>
      <vt:variant>
        <vt:i4>0</vt:i4>
      </vt:variant>
      <vt:variant>
        <vt:i4>5</vt:i4>
      </vt:variant>
      <vt:variant>
        <vt:lpwstr>https://www.caf.com/es/sobre-caf/que-hacemos/acceso-a-la-informacion/prevencion-de-practicas-prohibidas/</vt:lpwstr>
      </vt:variant>
      <vt:variant>
        <vt:lpwstr/>
      </vt:variant>
      <vt:variant>
        <vt:i4>6225946</vt:i4>
      </vt:variant>
      <vt:variant>
        <vt:i4>12</vt:i4>
      </vt:variant>
      <vt:variant>
        <vt:i4>0</vt:i4>
      </vt:variant>
      <vt:variant>
        <vt:i4>5</vt:i4>
      </vt:variant>
      <vt:variant>
        <vt:lpwstr>https://www.caf.com/es/sobre-caf/que-hacemos/acceso-a-la-informacion/prevencion-de-practicas-prohibidas/</vt:lpwstr>
      </vt:variant>
      <vt:variant>
        <vt:lpwstr/>
      </vt:variant>
      <vt:variant>
        <vt:i4>1441829</vt:i4>
      </vt:variant>
      <vt:variant>
        <vt:i4>9</vt:i4>
      </vt:variant>
      <vt:variant>
        <vt:i4>0</vt:i4>
      </vt:variant>
      <vt:variant>
        <vt:i4>5</vt:i4>
      </vt:variant>
      <vt:variant>
        <vt:lpwstr>mailto:MGIUSSANI@caf.com</vt:lpwstr>
      </vt:variant>
      <vt:variant>
        <vt:lpwstr/>
      </vt:variant>
      <vt:variant>
        <vt:i4>2686995</vt:i4>
      </vt:variant>
      <vt:variant>
        <vt:i4>6</vt:i4>
      </vt:variant>
      <vt:variant>
        <vt:i4>0</vt:i4>
      </vt:variant>
      <vt:variant>
        <vt:i4>5</vt:i4>
      </vt:variant>
      <vt:variant>
        <vt:lpwstr>https://www.ifc.org/wps/wcm/connect/Topics_Ext_Content/IFC_External_Corporate_Site/Sustainability-At-IFC/Policies-Standards/Performance-Standards/</vt:lpwstr>
      </vt:variant>
      <vt:variant>
        <vt:lpwstr/>
      </vt:variant>
      <vt:variant>
        <vt:i4>65647</vt:i4>
      </vt:variant>
      <vt:variant>
        <vt:i4>3</vt:i4>
      </vt:variant>
      <vt:variant>
        <vt:i4>0</vt:i4>
      </vt:variant>
      <vt:variant>
        <vt:i4>5</vt:i4>
      </vt:variant>
      <vt:variant>
        <vt:lpwstr>https://www.mee.gov.cn/ywgz/fgbz/bz/bzwb/gthw/qtxgbz/202108/t20210820_858544.shtml</vt:lpwstr>
      </vt:variant>
      <vt:variant>
        <vt:lpwstr/>
      </vt:variant>
      <vt:variant>
        <vt:i4>6226001</vt:i4>
      </vt:variant>
      <vt:variant>
        <vt:i4>0</vt:i4>
      </vt:variant>
      <vt:variant>
        <vt:i4>0</vt:i4>
      </vt:variant>
      <vt:variant>
        <vt:i4>5</vt:i4>
      </vt:variant>
      <vt:variant>
        <vt:lpwstr>https://www.greenclimate.fund/sites/default/files/decision/bbm-2021/decision-bbm-2021-18-bbm-2021-18-decision-board-revisions-gcf-esp-reaffirm-fund-s-commitment.pdf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Landwehr</dc:creator>
  <cp:keywords/>
  <dc:description/>
  <cp:lastModifiedBy>MIRANDA, ALEJANDRO</cp:lastModifiedBy>
  <cp:revision>6</cp:revision>
  <cp:lastPrinted>2022-09-09T04:07:00Z</cp:lastPrinted>
  <dcterms:created xsi:type="dcterms:W3CDTF">2022-09-16T12:15:00Z</dcterms:created>
  <dcterms:modified xsi:type="dcterms:W3CDTF">2022-09-16T15:17:00Z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0x01010081937166F8272C4EA3F57DA39860E63C</vt:lpwstr>
  </property>
  <property fmtid="{D5CDD505-2E9C-101B-9397-08002B2CF9AE}" pid="3" name="TitusGUID">
    <vt:lpwstr>cec4eaa2-b4b5-480f-8e8f-2ac1bcb73333</vt:lpwstr>
  </property>
  <property fmtid="{D5CDD505-2E9C-101B-9397-08002B2CF9AE}" pid="4" name="MediaServiceImageTags">
    <vt:lpwstr/>
  </property>
</Properties>
</file>